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rPr>
          <w:rFonts w:ascii="Arial" w:hAnsi="Arial" w:cs="Arial"/>
          <w:b/>
        </w:rPr>
      </w:pPr>
      <w:r>
        <w:rPr>
          <w:rFonts w:ascii="Arial" w:hAnsi="Arial" w:cs="Arial"/>
          <w:b/>
        </w:rPr>
        <w:t>TSG-SA Meeting #</w:t>
      </w:r>
      <w:r>
        <w:rPr>
          <w:rFonts w:hint="eastAsia" w:ascii="Arial" w:hAnsi="Arial" w:eastAsia="宋体" w:cs="Arial"/>
          <w:b/>
          <w:lang w:val="en-US" w:eastAsia="zh-CN"/>
        </w:rPr>
        <w:t>104</w:t>
      </w:r>
      <w:r>
        <w:rPr>
          <w:rFonts w:ascii="Arial" w:hAnsi="Arial" w:cs="Arial"/>
          <w:b/>
        </w:rPr>
        <w:tab/>
      </w:r>
      <w:r>
        <w:rPr>
          <w:rFonts w:hint="eastAsia" w:ascii="Arial" w:hAnsi="Arial" w:eastAsia="宋体" w:cs="Arial"/>
          <w:b/>
          <w:lang w:val="en-US" w:eastAsia="zh-CN"/>
        </w:rPr>
        <w:t>SP-240798</w:t>
      </w:r>
    </w:p>
    <w:p>
      <w:pPr>
        <w:pBdr>
          <w:bottom w:val="single" w:color="auto" w:sz="4" w:space="1"/>
        </w:pBdr>
        <w:tabs>
          <w:tab w:val="right" w:pos="9214"/>
        </w:tabs>
        <w:rPr>
          <w:rFonts w:ascii="Arial" w:hAnsi="Arial" w:cs="Arial"/>
          <w:b/>
        </w:rPr>
      </w:pPr>
      <w:r>
        <w:rPr>
          <w:rFonts w:hint="eastAsia" w:ascii="Arial" w:hAnsi="Arial" w:cs="Arial"/>
          <w:b/>
          <w:lang w:val="en-US" w:eastAsia="zh-CN"/>
        </w:rPr>
        <w:t>Shanghai, China</w:t>
      </w:r>
      <w:r>
        <w:rPr>
          <w:rFonts w:ascii="Arial" w:hAnsi="Arial" w:cs="Arial"/>
          <w:b/>
        </w:rPr>
        <w:t xml:space="preserve">, </w:t>
      </w:r>
      <w:r>
        <w:rPr>
          <w:rFonts w:hint="eastAsia" w:ascii="Arial" w:hAnsi="Arial" w:cs="Arial"/>
          <w:b/>
        </w:rPr>
        <w:t>June 18 – 21, 2024</w:t>
      </w:r>
    </w:p>
    <w:p>
      <w:pPr>
        <w:rPr>
          <w:rFonts w:ascii="Arial" w:hAnsi="Arial"/>
        </w:rPr>
      </w:pPr>
    </w:p>
    <w:p>
      <w:pPr>
        <w:tabs>
          <w:tab w:val="left" w:pos="1701"/>
        </w:tabs>
        <w:rPr>
          <w:rFonts w:hint="default" w:ascii="Arial" w:hAnsi="Arial" w:eastAsia="宋体"/>
          <w:lang w:val="en-US" w:eastAsia="zh-CN"/>
        </w:rPr>
      </w:pPr>
      <w:r>
        <w:rPr>
          <w:rFonts w:ascii="Arial" w:hAnsi="Arial" w:eastAsia="宋体"/>
          <w:lang w:eastAsia="en-GB"/>
        </w:rPr>
        <w:t>Title:</w:t>
      </w:r>
      <w:r>
        <w:rPr>
          <w:rFonts w:ascii="Arial" w:hAnsi="Arial" w:eastAsia="宋体"/>
          <w:lang w:eastAsia="en-GB"/>
        </w:rPr>
        <w:tab/>
      </w:r>
      <w:r>
        <w:rPr>
          <w:rFonts w:ascii="Arial" w:hAnsi="Arial" w:eastAsia="宋体"/>
          <w:lang w:eastAsia="en-GB"/>
        </w:rPr>
        <w:t xml:space="preserve">Summary for </w:t>
      </w:r>
      <w:r>
        <w:rPr>
          <w:rFonts w:hint="eastAsia" w:ascii="Arial" w:hAnsi="Arial" w:eastAsia="宋体"/>
          <w:lang w:val="en-US" w:eastAsia="zh-CN"/>
        </w:rPr>
        <w:t>5GMARCH_Ph2</w:t>
      </w:r>
    </w:p>
    <w:p>
      <w:pPr>
        <w:tabs>
          <w:tab w:val="left" w:pos="1701"/>
        </w:tabs>
        <w:rPr>
          <w:rFonts w:ascii="Arial" w:hAnsi="Arial" w:eastAsia="宋体"/>
          <w:lang w:eastAsia="zh-CN"/>
        </w:rPr>
      </w:pPr>
      <w:r>
        <w:rPr>
          <w:rFonts w:ascii="Arial" w:hAnsi="Arial" w:eastAsia="宋体"/>
          <w:lang w:eastAsia="en-GB"/>
        </w:rPr>
        <w:t>Type:</w:t>
      </w:r>
      <w:r>
        <w:rPr>
          <w:rFonts w:ascii="Arial" w:hAnsi="Arial" w:eastAsia="宋体"/>
          <w:lang w:eastAsia="en-GB"/>
        </w:rPr>
        <w:tab/>
      </w:r>
      <w:r>
        <w:rPr>
          <w:rFonts w:ascii="Arial" w:hAnsi="Arial" w:eastAsia="宋体"/>
          <w:lang w:eastAsia="zh-CN"/>
        </w:rPr>
        <w:t xml:space="preserve">Work Item Summary </w:t>
      </w:r>
    </w:p>
    <w:p>
      <w:pPr>
        <w:tabs>
          <w:tab w:val="left" w:pos="1701"/>
        </w:tabs>
        <w:rPr>
          <w:rFonts w:ascii="Arial" w:hAnsi="Arial" w:eastAsia="宋体"/>
          <w:lang w:eastAsia="en-GB"/>
        </w:rPr>
      </w:pPr>
      <w:r>
        <w:rPr>
          <w:rFonts w:ascii="Arial" w:hAnsi="Arial" w:eastAsia="宋体"/>
          <w:lang w:eastAsia="en-GB"/>
        </w:rPr>
        <w:t>Agenda Item:</w:t>
      </w:r>
      <w:r>
        <w:rPr>
          <w:rFonts w:ascii="Arial" w:hAnsi="Arial" w:eastAsia="宋体"/>
          <w:lang w:eastAsia="en-GB"/>
        </w:rPr>
        <w:tab/>
      </w:r>
      <w:r>
        <w:rPr>
          <w:rFonts w:ascii="Arial" w:hAnsi="Arial" w:eastAsia="宋体"/>
          <w:lang w:eastAsia="en-GB"/>
        </w:rPr>
        <w:t>21.5</w:t>
      </w:r>
    </w:p>
    <w:p>
      <w:pPr>
        <w:tabs>
          <w:tab w:val="left" w:pos="1701"/>
        </w:tabs>
        <w:rPr>
          <w:rFonts w:hint="default" w:ascii="Arial" w:hAnsi="Arial" w:eastAsia="宋体"/>
          <w:lang w:val="en-US" w:eastAsia="zh-CN"/>
        </w:rPr>
      </w:pPr>
      <w:r>
        <w:rPr>
          <w:rFonts w:ascii="Arial" w:hAnsi="Arial" w:eastAsia="宋体"/>
          <w:lang w:eastAsia="en-GB"/>
        </w:rPr>
        <w:t>Source:</w:t>
      </w:r>
      <w:r>
        <w:rPr>
          <w:rFonts w:ascii="Arial" w:hAnsi="Arial" w:eastAsia="宋体"/>
          <w:lang w:eastAsia="en-GB"/>
        </w:rPr>
        <w:tab/>
      </w:r>
      <w:r>
        <w:rPr>
          <w:rFonts w:hint="eastAsia" w:ascii="Arial" w:hAnsi="Arial" w:eastAsia="宋体"/>
          <w:lang w:val="en-US" w:eastAsia="zh-CN"/>
        </w:rPr>
        <w:t>Yue Liu</w:t>
      </w:r>
    </w:p>
    <w:p>
      <w:pPr>
        <w:tabs>
          <w:tab w:val="left" w:pos="1701"/>
        </w:tabs>
        <w:rPr>
          <w:rFonts w:hint="default" w:ascii="Arial" w:hAnsi="Arial" w:eastAsia="宋体"/>
          <w:lang w:val="en-US" w:eastAsia="zh-CN"/>
        </w:rPr>
      </w:pPr>
      <w:r>
        <w:rPr>
          <w:rFonts w:ascii="Arial" w:hAnsi="Arial" w:eastAsia="宋体"/>
          <w:lang w:eastAsia="en-GB"/>
        </w:rPr>
        <w:t>Contact:</w:t>
      </w:r>
      <w:r>
        <w:rPr>
          <w:rFonts w:ascii="Arial" w:hAnsi="Arial" w:eastAsia="宋体"/>
          <w:lang w:eastAsia="en-GB"/>
        </w:rPr>
        <w:tab/>
      </w:r>
      <w:r>
        <w:rPr>
          <w:rFonts w:hint="eastAsia" w:ascii="Arial" w:hAnsi="Arial" w:eastAsia="宋体"/>
          <w:lang w:val="en-US" w:eastAsia="zh-CN"/>
        </w:rPr>
        <w:t>liuyueyjy@chinamobile.com</w:t>
      </w:r>
    </w:p>
    <w:p>
      <w:pPr>
        <w:pBdr>
          <w:bottom w:val="single" w:color="auto" w:sz="6" w:space="1"/>
        </w:pBdr>
      </w:pPr>
    </w:p>
    <w:p>
      <w:pPr>
        <w:spacing w:after="180"/>
      </w:pPr>
      <w:bookmarkStart w:id="0" w:name="_Hlk94172402"/>
      <w:r>
        <w:t>This document is a contribution to TR 21.91</w:t>
      </w:r>
      <w:r>
        <w:rPr>
          <w:rFonts w:hint="eastAsia" w:eastAsia="宋体"/>
          <w:lang w:val="en-US" w:eastAsia="zh-CN"/>
        </w:rPr>
        <w:t>8</w:t>
      </w:r>
      <w:r>
        <w:t xml:space="preserve"> ("Release 1</w:t>
      </w:r>
      <w:r>
        <w:rPr>
          <w:rFonts w:hint="eastAsia" w:eastAsia="宋体"/>
          <w:lang w:val="en-US" w:eastAsia="zh-CN"/>
        </w:rPr>
        <w:t>8</w:t>
      </w:r>
      <w:r>
        <w:t xml:space="preserve"> Description; Summary of Rel-1</w:t>
      </w:r>
      <w:r>
        <w:rPr>
          <w:rFonts w:hint="eastAsia" w:eastAsia="宋体"/>
          <w:lang w:val="en-US" w:eastAsia="zh-CN"/>
        </w:rPr>
        <w:t>8</w:t>
      </w:r>
      <w:r>
        <w:t xml:space="preserve"> Work </w:t>
      </w:r>
    </w:p>
    <w:p>
      <w:pPr>
        <w:rPr>
          <w:rFonts w:hint="eastAsia" w:eastAsia="宋体"/>
          <w:lang w:val="en-US" w:eastAsia="zh-CN"/>
        </w:rPr>
      </w:pPr>
      <w:r>
        <w:rPr>
          <w:lang w:eastAsia="en-GB"/>
        </w:rPr>
        <w:t xml:space="preserve">Summary based on the input provided by </w:t>
      </w:r>
      <w:r>
        <w:rPr>
          <w:rFonts w:hint="eastAsia"/>
          <w:lang w:eastAsia="en-GB"/>
        </w:rPr>
        <w:t>China Mobile</w:t>
      </w:r>
      <w:r>
        <w:rPr>
          <w:lang w:eastAsia="en-GB"/>
        </w:rPr>
        <w:t xml:space="preserve"> in </w:t>
      </w:r>
      <w:r>
        <w:rPr>
          <w:rFonts w:hint="eastAsia"/>
          <w:lang w:eastAsia="en-GB"/>
        </w:rPr>
        <w:t>SP-240798</w:t>
      </w:r>
      <w:r>
        <w:rPr>
          <w:rFonts w:hint="eastAsia" w:eastAsia="宋体"/>
          <w:lang w:val="en-US" w:eastAsia="zh-CN"/>
        </w:rPr>
        <w:t>.</w:t>
      </w:r>
    </w:p>
    <w:tbl>
      <w:tblPr>
        <w:tblStyle w:val="51"/>
        <w:tblW w:w="10400" w:type="dxa"/>
        <w:tblInd w:w="108" w:type="dxa"/>
        <w:tblBorders>
          <w:top w:val="none" w:color="auto" w:sz="0" w:space="0"/>
          <w:left w:val="none" w:color="auto" w:sz="0" w:space="0"/>
          <w:bottom w:val="single" w:color="auto" w:sz="8" w:space="0"/>
          <w:right w:val="single" w:color="auto" w:sz="8" w:space="0"/>
          <w:insideH w:val="single" w:color="auto" w:sz="8" w:space="0"/>
          <w:insideV w:val="single" w:color="auto" w:sz="8" w:space="0"/>
        </w:tblBorders>
        <w:shd w:val="clear" w:color="000000" w:fill="auto"/>
        <w:tblLayout w:type="autofit"/>
        <w:tblCellMar>
          <w:top w:w="0" w:type="dxa"/>
          <w:left w:w="108" w:type="dxa"/>
          <w:bottom w:w="0" w:type="dxa"/>
          <w:right w:w="108" w:type="dxa"/>
        </w:tblCellMar>
      </w:tblPr>
      <w:tblGrid>
        <w:gridCol w:w="948"/>
        <w:gridCol w:w="4993"/>
        <w:gridCol w:w="1378"/>
        <w:gridCol w:w="613"/>
        <w:gridCol w:w="949"/>
        <w:gridCol w:w="1519"/>
      </w:tblGrid>
      <w:tr>
        <w:tblPrEx>
          <w:tblBorders>
            <w:top w:val="none" w:color="auto" w:sz="0" w:space="0"/>
            <w:left w:val="none" w:color="auto" w:sz="0" w:space="0"/>
            <w:bottom w:val="single" w:color="auto" w:sz="8" w:space="0"/>
            <w:right w:val="single" w:color="auto" w:sz="8" w:space="0"/>
            <w:insideH w:val="single" w:color="auto" w:sz="8" w:space="0"/>
            <w:insideV w:val="single" w:color="auto" w:sz="8" w:space="0"/>
          </w:tblBorders>
          <w:shd w:val="clear" w:color="000000" w:fill="auto"/>
          <w:tblCellMar>
            <w:top w:w="0" w:type="dxa"/>
            <w:left w:w="108" w:type="dxa"/>
            <w:bottom w:w="0" w:type="dxa"/>
            <w:right w:w="108" w:type="dxa"/>
          </w:tblCellMar>
        </w:tblPrEx>
        <w:trPr>
          <w:trHeight w:val="170" w:hRule="atLeast"/>
        </w:trPr>
        <w:tc>
          <w:tcPr>
            <w:tcW w:w="948" w:type="dxa"/>
            <w:tcBorders>
              <w:top w:val="single" w:color="auto" w:sz="8" w:space="0"/>
              <w:left w:val="single" w:color="auto" w:sz="8" w:space="0"/>
            </w:tcBorders>
            <w:shd w:val="clear" w:color="000000" w:fill="auto"/>
          </w:tcPr>
          <w:p>
            <w:pPr>
              <w:rPr>
                <w:rFonts w:ascii="Arial" w:hAnsi="Arial" w:cs="Arial"/>
                <w:b/>
                <w:bCs/>
                <w:color w:val="000000"/>
                <w:sz w:val="12"/>
                <w:szCs w:val="12"/>
                <w:lang w:eastAsia="en-GB"/>
              </w:rPr>
            </w:pPr>
            <w:r>
              <w:rPr>
                <w:rFonts w:ascii="Arial" w:hAnsi="Arial" w:cs="Arial"/>
                <w:b/>
                <w:bCs/>
                <w:color w:val="000000"/>
                <w:sz w:val="12"/>
                <w:szCs w:val="12"/>
                <w:lang w:eastAsia="en-GB"/>
              </w:rPr>
              <w:t>Unique ID</w:t>
            </w:r>
          </w:p>
        </w:tc>
        <w:tc>
          <w:tcPr>
            <w:tcW w:w="4993" w:type="dxa"/>
            <w:tcBorders>
              <w:top w:val="single" w:color="auto" w:sz="8" w:space="0"/>
            </w:tcBorders>
            <w:shd w:val="clear" w:color="000000" w:fill="auto"/>
          </w:tcPr>
          <w:p>
            <w:pPr>
              <w:spacing w:after="0"/>
              <w:rPr>
                <w:rFonts w:ascii="Arial" w:hAnsi="Arial" w:cs="Arial"/>
                <w:b/>
                <w:bCs/>
                <w:color w:val="0000FF"/>
                <w:lang w:eastAsia="en-GB"/>
              </w:rPr>
            </w:pPr>
            <w:r>
              <w:rPr>
                <w:rFonts w:ascii="Arial" w:hAnsi="Arial" w:cs="Arial"/>
                <w:b/>
                <w:bCs/>
                <w:color w:val="0000FF"/>
                <w:lang w:eastAsia="en-GB"/>
              </w:rPr>
              <w:t>Name</w:t>
            </w:r>
          </w:p>
        </w:tc>
        <w:tc>
          <w:tcPr>
            <w:tcW w:w="1378" w:type="dxa"/>
            <w:tcBorders>
              <w:top w:val="single" w:color="auto" w:sz="8" w:space="0"/>
            </w:tcBorders>
            <w:shd w:val="clear" w:color="000000" w:fill="auto"/>
            <w:noWrap/>
          </w:tcPr>
          <w:p>
            <w:pPr>
              <w:spacing w:after="0"/>
              <w:rPr>
                <w:rFonts w:ascii="Calibri" w:hAnsi="Calibri" w:cs="Calibri"/>
                <w:b/>
                <w:bCs/>
                <w:color w:val="000000"/>
                <w:sz w:val="14"/>
                <w:szCs w:val="14"/>
                <w:lang w:eastAsia="en-GB"/>
              </w:rPr>
            </w:pPr>
            <w:r>
              <w:rPr>
                <w:rFonts w:ascii="Calibri" w:hAnsi="Calibri" w:cs="Calibri"/>
                <w:b/>
                <w:bCs/>
                <w:color w:val="000000"/>
                <w:sz w:val="14"/>
                <w:szCs w:val="14"/>
                <w:lang w:eastAsia="en-GB"/>
              </w:rPr>
              <w:t>Acronym</w:t>
            </w:r>
          </w:p>
        </w:tc>
        <w:tc>
          <w:tcPr>
            <w:tcW w:w="613" w:type="dxa"/>
            <w:tcBorders>
              <w:top w:val="single" w:color="auto" w:sz="8" w:space="0"/>
            </w:tcBorders>
            <w:shd w:val="clear" w:color="000000" w:fill="auto"/>
          </w:tcPr>
          <w:p>
            <w:pPr>
              <w:spacing w:after="0"/>
              <w:rPr>
                <w:rFonts w:ascii="Calibri" w:hAnsi="Calibri" w:cs="Calibri"/>
                <w:color w:val="000000"/>
                <w:sz w:val="14"/>
                <w:szCs w:val="14"/>
                <w:lang w:eastAsia="en-GB"/>
              </w:rPr>
            </w:pPr>
            <w:r>
              <w:rPr>
                <w:rFonts w:ascii="Calibri" w:hAnsi="Calibri" w:cs="Calibri"/>
                <w:color w:val="000000"/>
                <w:sz w:val="14"/>
                <w:szCs w:val="14"/>
                <w:lang w:eastAsia="en-GB"/>
              </w:rPr>
              <w:t>WG</w:t>
            </w:r>
          </w:p>
        </w:tc>
        <w:tc>
          <w:tcPr>
            <w:tcW w:w="949" w:type="dxa"/>
            <w:tcBorders>
              <w:top w:val="single" w:color="auto" w:sz="8" w:space="0"/>
            </w:tcBorders>
            <w:shd w:val="clear" w:color="000000" w:fill="auto"/>
          </w:tcPr>
          <w:p>
            <w:pPr>
              <w:spacing w:after="0"/>
              <w:rPr>
                <w:rFonts w:ascii="Calibri" w:hAnsi="Calibri" w:cs="Calibri"/>
                <w:b/>
                <w:bCs/>
                <w:color w:val="000000"/>
                <w:sz w:val="14"/>
                <w:szCs w:val="14"/>
                <w:lang w:eastAsia="en-GB"/>
              </w:rPr>
            </w:pPr>
            <w:r>
              <w:rPr>
                <w:rFonts w:ascii="Calibri" w:hAnsi="Calibri" w:cs="Calibri"/>
                <w:b/>
                <w:bCs/>
                <w:color w:val="000000"/>
                <w:sz w:val="14"/>
                <w:szCs w:val="14"/>
                <w:lang w:eastAsia="en-GB"/>
              </w:rPr>
              <w:t>WID</w:t>
            </w:r>
          </w:p>
        </w:tc>
        <w:tc>
          <w:tcPr>
            <w:tcW w:w="1519" w:type="dxa"/>
            <w:tcBorders>
              <w:top w:val="single" w:color="auto" w:sz="8" w:space="0"/>
            </w:tcBorders>
            <w:shd w:val="clear" w:color="000000" w:fill="auto"/>
          </w:tcPr>
          <w:p>
            <w:pPr>
              <w:spacing w:after="0"/>
              <w:rPr>
                <w:rFonts w:ascii="Calibri" w:hAnsi="Calibri" w:cs="Calibri"/>
                <w:b/>
                <w:bCs/>
                <w:color w:val="000000"/>
                <w:sz w:val="14"/>
                <w:szCs w:val="14"/>
                <w:lang w:eastAsia="en-GB"/>
              </w:rPr>
            </w:pPr>
            <w:r>
              <w:rPr>
                <w:rFonts w:ascii="Calibri" w:hAnsi="Calibri" w:cs="Calibri"/>
                <w:b/>
                <w:bCs/>
                <w:color w:val="000000"/>
                <w:sz w:val="14"/>
                <w:szCs w:val="14"/>
                <w:lang w:eastAsia="en-GB"/>
              </w:rPr>
              <w:t>WI Rapporteur name</w:t>
            </w:r>
          </w:p>
        </w:tc>
      </w:tr>
      <w:tr>
        <w:tblPrEx>
          <w:tblBorders>
            <w:top w:val="none" w:color="auto" w:sz="0" w:space="0"/>
            <w:left w:val="none" w:color="auto" w:sz="0" w:space="0"/>
            <w:bottom w:val="single" w:color="auto" w:sz="8" w:space="0"/>
            <w:right w:val="single" w:color="auto" w:sz="8" w:space="0"/>
            <w:insideH w:val="single" w:color="auto" w:sz="8" w:space="0"/>
            <w:insideV w:val="single" w:color="auto" w:sz="8" w:space="0"/>
          </w:tblBorders>
          <w:shd w:val="clear" w:color="000000" w:fill="auto"/>
          <w:tblCellMar>
            <w:top w:w="0" w:type="dxa"/>
            <w:left w:w="108" w:type="dxa"/>
            <w:bottom w:w="0" w:type="dxa"/>
            <w:right w:w="108" w:type="dxa"/>
          </w:tblCellMar>
        </w:tblPrEx>
        <w:trPr>
          <w:trHeight w:val="170" w:hRule="atLeast"/>
        </w:trPr>
        <w:tc>
          <w:tcPr>
            <w:tcW w:w="948" w:type="dxa"/>
            <w:tcBorders>
              <w:top w:val="single" w:color="auto" w:sz="8" w:space="0"/>
              <w:left w:val="single" w:color="auto" w:sz="8" w:space="0"/>
            </w:tcBorders>
            <w:shd w:val="clear" w:color="000000" w:fill="auto"/>
            <w:vAlign w:val="top"/>
          </w:tcPr>
          <w:p>
            <w:pPr>
              <w:rPr>
                <w:rFonts w:ascii="Arial" w:hAnsi="Arial" w:cs="Arial"/>
                <w:b/>
                <w:bCs/>
                <w:color w:val="000000"/>
                <w:sz w:val="12"/>
                <w:szCs w:val="12"/>
                <w:lang w:eastAsia="en-GB"/>
              </w:rPr>
            </w:pPr>
            <w:r>
              <w:rPr>
                <w:rFonts w:ascii="Arial" w:hAnsi="Arial" w:cs="Arial"/>
                <w:b/>
                <w:bCs/>
                <w:color w:val="000000"/>
                <w:sz w:val="12"/>
                <w:szCs w:val="12"/>
                <w:lang w:eastAsia="en-GB"/>
              </w:rPr>
              <w:t>990116</w:t>
            </w:r>
          </w:p>
        </w:tc>
        <w:tc>
          <w:tcPr>
            <w:tcW w:w="4993" w:type="dxa"/>
            <w:shd w:val="clear" w:color="000000" w:fill="auto"/>
          </w:tcPr>
          <w:p>
            <w:pPr>
              <w:spacing w:after="0"/>
              <w:rPr>
                <w:rFonts w:ascii="Arial" w:hAnsi="Arial" w:cs="Arial"/>
                <w:b/>
                <w:bCs/>
                <w:color w:val="0000FF"/>
                <w:lang w:eastAsia="en-GB"/>
              </w:rPr>
            </w:pPr>
            <w:r>
              <w:rPr>
                <w:rFonts w:hint="eastAsia" w:ascii="Arial" w:hAnsi="Arial" w:cs="Arial"/>
                <w:b/>
                <w:bCs/>
                <w:color w:val="0000FF"/>
                <w:lang w:eastAsia="en-GB"/>
              </w:rPr>
              <w:t>Message Service within the 5G system (MSGin5G) Phase 2</w:t>
            </w:r>
            <w:r>
              <w:rPr>
                <w:rFonts w:ascii="Arial" w:hAnsi="Arial" w:cs="Arial"/>
                <w:b/>
                <w:bCs/>
                <w:color w:val="0000FF"/>
                <w:lang w:eastAsia="en-GB"/>
              </w:rPr>
              <w:t xml:space="preserve"> </w:t>
            </w:r>
          </w:p>
        </w:tc>
        <w:tc>
          <w:tcPr>
            <w:tcW w:w="1378" w:type="dxa"/>
            <w:shd w:val="clear" w:color="000000" w:fill="auto"/>
            <w:noWrap/>
          </w:tcPr>
          <w:p>
            <w:pPr>
              <w:spacing w:after="0"/>
              <w:rPr>
                <w:rFonts w:hint="default" w:ascii="Calibri" w:hAnsi="Calibri" w:eastAsia="宋体" w:cs="Calibri"/>
                <w:b/>
                <w:bCs/>
                <w:color w:val="000000"/>
                <w:sz w:val="14"/>
                <w:szCs w:val="14"/>
                <w:lang w:val="en-US" w:eastAsia="zh-CN"/>
              </w:rPr>
            </w:pPr>
            <w:r>
              <w:rPr>
                <w:rFonts w:hint="eastAsia" w:ascii="Calibri" w:hAnsi="Calibri" w:eastAsia="宋体" w:cs="Calibri"/>
                <w:b/>
                <w:bCs/>
                <w:color w:val="000000"/>
                <w:sz w:val="14"/>
                <w:szCs w:val="14"/>
                <w:lang w:val="en-US" w:eastAsia="zh-CN"/>
              </w:rPr>
              <w:t>5GMARCH_Ph2</w:t>
            </w:r>
          </w:p>
        </w:tc>
        <w:tc>
          <w:tcPr>
            <w:tcW w:w="613" w:type="dxa"/>
            <w:shd w:val="clear" w:color="000000" w:fill="auto"/>
          </w:tcPr>
          <w:p>
            <w:pPr>
              <w:spacing w:after="0"/>
              <w:rPr>
                <w:rFonts w:hint="eastAsia" w:ascii="Calibri" w:hAnsi="Calibri" w:eastAsia="宋体" w:cs="Calibri"/>
                <w:color w:val="000000"/>
                <w:sz w:val="14"/>
                <w:szCs w:val="14"/>
                <w:lang w:eastAsia="zh-CN"/>
              </w:rPr>
            </w:pPr>
          </w:p>
        </w:tc>
        <w:tc>
          <w:tcPr>
            <w:tcW w:w="949" w:type="dxa"/>
            <w:shd w:val="clear" w:color="000000" w:fill="auto"/>
            <w:vAlign w:val="top"/>
          </w:tcPr>
          <w:p>
            <w:pPr>
              <w:spacing w:after="0"/>
              <w:rPr>
                <w:rFonts w:ascii="Calibri" w:hAnsi="Calibri" w:cs="Calibri"/>
                <w:color w:val="000000"/>
                <w:sz w:val="14"/>
                <w:szCs w:val="14"/>
                <w:lang w:eastAsia="en-GB"/>
              </w:rPr>
            </w:pPr>
            <w:r>
              <w:rPr>
                <w:rFonts w:ascii="Calibri" w:hAnsi="Calibri" w:cs="Calibri"/>
                <w:color w:val="000000"/>
                <w:sz w:val="14"/>
                <w:szCs w:val="14"/>
                <w:lang w:eastAsia="en-GB"/>
              </w:rPr>
              <w:fldChar w:fldCharType="begin"/>
            </w:r>
            <w:r>
              <w:rPr>
                <w:rFonts w:ascii="Calibri" w:hAnsi="Calibri" w:cs="Calibri"/>
                <w:color w:val="000000"/>
                <w:sz w:val="14"/>
                <w:szCs w:val="14"/>
                <w:lang w:eastAsia="en-GB"/>
              </w:rPr>
              <w:instrText xml:space="preserve"> HYPERLINK "https://www.3gpp.org/ftp/Information/WI_Sheet/SP-220330.zip" </w:instrText>
            </w:r>
            <w:r>
              <w:rPr>
                <w:rFonts w:ascii="Calibri" w:hAnsi="Calibri" w:cs="Calibri"/>
                <w:color w:val="000000"/>
                <w:sz w:val="14"/>
                <w:szCs w:val="14"/>
                <w:lang w:eastAsia="en-GB"/>
              </w:rPr>
              <w:fldChar w:fldCharType="separate"/>
            </w:r>
            <w:r>
              <w:rPr>
                <w:rFonts w:ascii="Calibri" w:hAnsi="Calibri" w:cs="Calibri"/>
                <w:color w:val="000000"/>
                <w:sz w:val="14"/>
                <w:szCs w:val="14"/>
                <w:lang w:eastAsia="en-GB"/>
              </w:rPr>
              <w:t>SP-220330</w:t>
            </w:r>
            <w:r>
              <w:rPr>
                <w:rFonts w:ascii="Calibri" w:hAnsi="Calibri" w:cs="Calibri"/>
                <w:color w:val="000000"/>
                <w:sz w:val="14"/>
                <w:szCs w:val="14"/>
                <w:lang w:eastAsia="en-GB"/>
              </w:rPr>
              <w:fldChar w:fldCharType="end"/>
            </w:r>
          </w:p>
        </w:tc>
        <w:tc>
          <w:tcPr>
            <w:tcW w:w="1519" w:type="dxa"/>
            <w:shd w:val="clear" w:color="000000" w:fill="auto"/>
            <w:vAlign w:val="top"/>
          </w:tcPr>
          <w:p>
            <w:pPr>
              <w:spacing w:after="0"/>
              <w:rPr>
                <w:rFonts w:ascii="Calibri" w:hAnsi="Calibri" w:cs="Calibri"/>
                <w:color w:val="000000"/>
                <w:sz w:val="14"/>
                <w:szCs w:val="14"/>
                <w:lang w:val="en-GB" w:eastAsia="en-GB"/>
              </w:rPr>
            </w:pPr>
            <w:r>
              <w:rPr>
                <w:rFonts w:ascii="Calibri" w:hAnsi="Calibri" w:cs="Calibri"/>
                <w:color w:val="000000"/>
                <w:sz w:val="14"/>
                <w:szCs w:val="14"/>
                <w:lang w:eastAsia="en-GB"/>
              </w:rPr>
              <w:t xml:space="preserve">Liu, Yue, China Mobile </w:t>
            </w:r>
          </w:p>
        </w:tc>
      </w:tr>
      <w:tr>
        <w:tblPrEx>
          <w:tblBorders>
            <w:top w:val="none" w:color="auto" w:sz="0" w:space="0"/>
            <w:left w:val="none" w:color="auto" w:sz="0" w:space="0"/>
            <w:bottom w:val="single" w:color="auto" w:sz="8" w:space="0"/>
            <w:right w:val="single" w:color="auto" w:sz="8" w:space="0"/>
            <w:insideH w:val="single" w:color="auto" w:sz="8" w:space="0"/>
            <w:insideV w:val="single" w:color="auto" w:sz="8" w:space="0"/>
          </w:tblBorders>
          <w:shd w:val="clear" w:color="000000" w:fill="auto"/>
        </w:tblPrEx>
        <w:trPr>
          <w:trHeight w:val="170" w:hRule="atLeast"/>
        </w:trPr>
        <w:tc>
          <w:tcPr>
            <w:tcW w:w="948" w:type="dxa"/>
            <w:tcBorders>
              <w:top w:val="single" w:color="auto" w:sz="8" w:space="0"/>
              <w:left w:val="single" w:color="auto" w:sz="8" w:space="0"/>
            </w:tcBorders>
            <w:shd w:val="clear" w:color="000000" w:fill="auto"/>
            <w:vAlign w:val="top"/>
          </w:tcPr>
          <w:p>
            <w:pPr>
              <w:rPr>
                <w:rFonts w:ascii="Arial" w:hAnsi="Arial" w:cs="Arial"/>
                <w:b/>
                <w:bCs/>
                <w:color w:val="000000"/>
                <w:sz w:val="12"/>
                <w:szCs w:val="12"/>
                <w:lang w:eastAsia="en-GB"/>
              </w:rPr>
            </w:pPr>
            <w:r>
              <w:rPr>
                <w:rFonts w:ascii="Arial" w:hAnsi="Arial" w:cs="Arial"/>
                <w:b/>
                <w:bCs/>
                <w:color w:val="000000"/>
                <w:sz w:val="12"/>
                <w:szCs w:val="12"/>
                <w:lang w:eastAsia="en-GB"/>
              </w:rPr>
              <w:t>950026</w:t>
            </w:r>
          </w:p>
        </w:tc>
        <w:tc>
          <w:tcPr>
            <w:tcW w:w="4993" w:type="dxa"/>
            <w:shd w:val="clear" w:color="000000" w:fill="auto"/>
          </w:tcPr>
          <w:p>
            <w:pPr>
              <w:spacing w:after="0"/>
              <w:rPr>
                <w:rFonts w:ascii="Arial" w:hAnsi="Arial" w:cs="Arial"/>
                <w:b/>
                <w:bCs/>
                <w:color w:val="000000"/>
                <w:sz w:val="16"/>
                <w:szCs w:val="16"/>
                <w:lang w:eastAsia="en-GB"/>
              </w:rPr>
            </w:pPr>
            <w:r>
              <w:rPr>
                <w:rFonts w:hint="eastAsia" w:ascii="Arial" w:hAnsi="Arial" w:cs="Arial"/>
                <w:b/>
                <w:bCs/>
                <w:color w:val="000000"/>
                <w:sz w:val="16"/>
                <w:szCs w:val="16"/>
                <w:lang w:eastAsia="en-GB"/>
              </w:rPr>
              <w:t xml:space="preserve">   Stage 2 of 5GMARCH_Ph2</w:t>
            </w:r>
          </w:p>
        </w:tc>
        <w:tc>
          <w:tcPr>
            <w:tcW w:w="1378" w:type="dxa"/>
            <w:shd w:val="clear" w:color="000000" w:fill="auto"/>
            <w:noWrap/>
          </w:tcPr>
          <w:p>
            <w:pPr>
              <w:spacing w:after="0"/>
              <w:rPr>
                <w:rFonts w:ascii="Calibri" w:hAnsi="Calibri" w:cs="Calibri"/>
                <w:color w:val="000000"/>
                <w:sz w:val="14"/>
                <w:szCs w:val="14"/>
                <w:lang w:eastAsia="en-GB"/>
              </w:rPr>
            </w:pPr>
            <w:r>
              <w:rPr>
                <w:rFonts w:ascii="Calibri" w:hAnsi="Calibri" w:cs="Calibri"/>
                <w:color w:val="000000"/>
                <w:sz w:val="14"/>
                <w:szCs w:val="14"/>
                <w:lang w:eastAsia="en-GB"/>
              </w:rPr>
              <w:t>5GMARCH_Ph2</w:t>
            </w:r>
          </w:p>
        </w:tc>
        <w:tc>
          <w:tcPr>
            <w:tcW w:w="613" w:type="dxa"/>
            <w:shd w:val="clear" w:color="000000" w:fill="auto"/>
          </w:tcPr>
          <w:p>
            <w:pPr>
              <w:spacing w:after="0"/>
              <w:rPr>
                <w:rFonts w:hint="default" w:ascii="Calibri" w:hAnsi="Calibri" w:eastAsia="宋体" w:cs="Calibri"/>
                <w:color w:val="000000"/>
                <w:sz w:val="14"/>
                <w:szCs w:val="14"/>
                <w:lang w:val="en-US" w:eastAsia="zh-CN"/>
              </w:rPr>
            </w:pPr>
            <w:r>
              <w:rPr>
                <w:rFonts w:ascii="Calibri" w:hAnsi="Calibri" w:cs="Calibri"/>
                <w:color w:val="000000"/>
                <w:sz w:val="14"/>
                <w:szCs w:val="14"/>
                <w:lang w:eastAsia="en-GB"/>
              </w:rPr>
              <w:t>S</w:t>
            </w:r>
            <w:r>
              <w:rPr>
                <w:rFonts w:hint="eastAsia" w:ascii="Calibri" w:hAnsi="Calibri" w:eastAsia="宋体" w:cs="Calibri"/>
                <w:color w:val="000000"/>
                <w:sz w:val="14"/>
                <w:szCs w:val="14"/>
                <w:lang w:val="en-US" w:eastAsia="zh-CN"/>
              </w:rPr>
              <w:t>6</w:t>
            </w:r>
          </w:p>
        </w:tc>
        <w:tc>
          <w:tcPr>
            <w:tcW w:w="949" w:type="dxa"/>
            <w:shd w:val="clear" w:color="000000" w:fill="auto"/>
            <w:vAlign w:val="top"/>
          </w:tcPr>
          <w:p>
            <w:pPr>
              <w:spacing w:after="0"/>
              <w:rPr>
                <w:rFonts w:ascii="Calibri" w:hAnsi="Calibri" w:cs="Calibri"/>
                <w:color w:val="000000"/>
                <w:sz w:val="14"/>
                <w:szCs w:val="14"/>
                <w:lang w:eastAsia="en-GB"/>
              </w:rPr>
            </w:pPr>
            <w:r>
              <w:rPr>
                <w:rFonts w:ascii="Calibri" w:hAnsi="Calibri" w:cs="Calibri"/>
                <w:color w:val="000000"/>
                <w:sz w:val="14"/>
                <w:szCs w:val="14"/>
                <w:lang w:eastAsia="en-GB"/>
              </w:rPr>
              <w:fldChar w:fldCharType="begin"/>
            </w:r>
            <w:r>
              <w:rPr>
                <w:rFonts w:ascii="Calibri" w:hAnsi="Calibri" w:cs="Calibri"/>
                <w:color w:val="000000"/>
                <w:sz w:val="14"/>
                <w:szCs w:val="14"/>
                <w:lang w:eastAsia="en-GB"/>
              </w:rPr>
              <w:instrText xml:space="preserve"> HYPERLINK "https://www.3gpp.org/ftp/Information/WI_Sheet/SP-220330.zip" </w:instrText>
            </w:r>
            <w:r>
              <w:rPr>
                <w:rFonts w:ascii="Calibri" w:hAnsi="Calibri" w:cs="Calibri"/>
                <w:color w:val="000000"/>
                <w:sz w:val="14"/>
                <w:szCs w:val="14"/>
                <w:lang w:eastAsia="en-GB"/>
              </w:rPr>
              <w:fldChar w:fldCharType="separate"/>
            </w:r>
            <w:r>
              <w:rPr>
                <w:rFonts w:ascii="Calibri" w:hAnsi="Calibri" w:cs="Calibri"/>
                <w:color w:val="000000"/>
                <w:sz w:val="14"/>
                <w:szCs w:val="14"/>
                <w:lang w:eastAsia="en-GB"/>
              </w:rPr>
              <w:t>SP-220330</w:t>
            </w:r>
            <w:r>
              <w:rPr>
                <w:rFonts w:ascii="Calibri" w:hAnsi="Calibri" w:cs="Calibri"/>
                <w:color w:val="000000"/>
                <w:sz w:val="14"/>
                <w:szCs w:val="14"/>
                <w:lang w:eastAsia="en-GB"/>
              </w:rPr>
              <w:fldChar w:fldCharType="end"/>
            </w:r>
          </w:p>
        </w:tc>
        <w:tc>
          <w:tcPr>
            <w:tcW w:w="1519" w:type="dxa"/>
            <w:shd w:val="clear" w:color="000000" w:fill="auto"/>
            <w:vAlign w:val="top"/>
          </w:tcPr>
          <w:p>
            <w:pPr>
              <w:spacing w:after="0"/>
              <w:rPr>
                <w:rFonts w:ascii="Calibri" w:hAnsi="Calibri" w:cs="Calibri"/>
                <w:color w:val="000000"/>
                <w:sz w:val="14"/>
                <w:szCs w:val="14"/>
                <w:lang w:val="en-GB" w:eastAsia="en-GB"/>
              </w:rPr>
            </w:pPr>
            <w:r>
              <w:rPr>
                <w:rFonts w:ascii="Calibri" w:hAnsi="Calibri" w:cs="Calibri"/>
                <w:color w:val="000000"/>
                <w:sz w:val="14"/>
                <w:szCs w:val="14"/>
                <w:lang w:eastAsia="en-GB"/>
              </w:rPr>
              <w:t xml:space="preserve">Liu, Yue, China Mobile </w:t>
            </w:r>
          </w:p>
        </w:tc>
      </w:tr>
      <w:tr>
        <w:tblPrEx>
          <w:tblBorders>
            <w:top w:val="none" w:color="auto" w:sz="0" w:space="0"/>
            <w:left w:val="none" w:color="auto" w:sz="0" w:space="0"/>
            <w:bottom w:val="single" w:color="auto" w:sz="8" w:space="0"/>
            <w:right w:val="single" w:color="auto" w:sz="8" w:space="0"/>
            <w:insideH w:val="single" w:color="auto" w:sz="8" w:space="0"/>
            <w:insideV w:val="single" w:color="auto" w:sz="8" w:space="0"/>
          </w:tblBorders>
          <w:shd w:val="clear" w:color="000000" w:fill="auto"/>
        </w:tblPrEx>
        <w:trPr>
          <w:trHeight w:val="170" w:hRule="atLeast"/>
        </w:trPr>
        <w:tc>
          <w:tcPr>
            <w:tcW w:w="948" w:type="dxa"/>
            <w:tcBorders>
              <w:top w:val="single" w:color="auto" w:sz="8" w:space="0"/>
              <w:left w:val="single" w:color="auto" w:sz="8" w:space="0"/>
            </w:tcBorders>
            <w:shd w:val="clear" w:color="000000" w:fill="auto"/>
            <w:vAlign w:val="top"/>
          </w:tcPr>
          <w:p>
            <w:pPr>
              <w:rPr>
                <w:rFonts w:ascii="Arial" w:hAnsi="Arial" w:cs="Arial"/>
                <w:b/>
                <w:bCs/>
                <w:color w:val="000000"/>
                <w:sz w:val="12"/>
                <w:szCs w:val="12"/>
                <w:lang w:eastAsia="en-GB"/>
              </w:rPr>
            </w:pPr>
            <w:r>
              <w:rPr>
                <w:rFonts w:ascii="Arial" w:hAnsi="Arial" w:cs="Arial"/>
                <w:b/>
                <w:bCs/>
                <w:color w:val="000000"/>
                <w:sz w:val="12"/>
                <w:szCs w:val="12"/>
                <w:lang w:eastAsia="en-GB"/>
              </w:rPr>
              <w:t>990019</w:t>
            </w:r>
          </w:p>
        </w:tc>
        <w:tc>
          <w:tcPr>
            <w:tcW w:w="4993" w:type="dxa"/>
            <w:shd w:val="clear" w:color="000000" w:fill="auto"/>
            <w:vAlign w:val="top"/>
          </w:tcPr>
          <w:p>
            <w:pPr>
              <w:spacing w:after="0"/>
              <w:rPr>
                <w:rFonts w:ascii="Arial" w:hAnsi="Arial" w:cs="Arial"/>
                <w:color w:val="000000"/>
                <w:sz w:val="14"/>
                <w:szCs w:val="14"/>
                <w:lang w:eastAsia="en-GB"/>
              </w:rPr>
            </w:pPr>
            <w:r>
              <w:rPr>
                <w:rFonts w:ascii="Arial" w:hAnsi="Arial" w:cs="Arial"/>
                <w:color w:val="000000"/>
                <w:sz w:val="14"/>
                <w:szCs w:val="14"/>
                <w:lang w:eastAsia="en-GB"/>
              </w:rPr>
              <w:t xml:space="preserve">   CT1 aspects of 5GMARCH_Ph2</w:t>
            </w:r>
          </w:p>
        </w:tc>
        <w:tc>
          <w:tcPr>
            <w:tcW w:w="1378" w:type="dxa"/>
            <w:shd w:val="clear" w:color="000000" w:fill="auto"/>
            <w:noWrap/>
          </w:tcPr>
          <w:p>
            <w:pPr>
              <w:spacing w:after="0"/>
              <w:rPr>
                <w:rFonts w:ascii="Calibri" w:hAnsi="Calibri" w:cs="Calibri"/>
                <w:color w:val="000000"/>
                <w:sz w:val="14"/>
                <w:szCs w:val="14"/>
                <w:lang w:eastAsia="en-GB"/>
              </w:rPr>
            </w:pPr>
            <w:r>
              <w:rPr>
                <w:rFonts w:ascii="Calibri" w:hAnsi="Calibri" w:cs="Calibri"/>
                <w:color w:val="000000"/>
                <w:sz w:val="14"/>
                <w:szCs w:val="14"/>
                <w:lang w:eastAsia="en-GB"/>
              </w:rPr>
              <w:t>5GMARCH_Ph2</w:t>
            </w:r>
          </w:p>
        </w:tc>
        <w:tc>
          <w:tcPr>
            <w:tcW w:w="613" w:type="dxa"/>
            <w:shd w:val="clear" w:color="000000" w:fill="auto"/>
          </w:tcPr>
          <w:p>
            <w:pPr>
              <w:spacing w:after="0"/>
              <w:rPr>
                <w:rFonts w:hint="default" w:ascii="Calibri" w:hAnsi="Calibri" w:eastAsia="宋体" w:cs="Calibri"/>
                <w:b/>
                <w:bCs/>
                <w:color w:val="000000"/>
                <w:sz w:val="14"/>
                <w:szCs w:val="14"/>
                <w:lang w:val="en-US" w:eastAsia="zh-CN"/>
              </w:rPr>
            </w:pPr>
            <w:r>
              <w:rPr>
                <w:rFonts w:hint="eastAsia" w:ascii="Calibri" w:hAnsi="Calibri" w:eastAsia="宋体" w:cs="Calibri"/>
                <w:color w:val="000000"/>
                <w:sz w:val="14"/>
                <w:szCs w:val="14"/>
                <w:lang w:val="en-US" w:eastAsia="zh-CN"/>
              </w:rPr>
              <w:t>C1</w:t>
            </w:r>
          </w:p>
        </w:tc>
        <w:tc>
          <w:tcPr>
            <w:tcW w:w="949" w:type="dxa"/>
            <w:shd w:val="clear" w:color="000000" w:fill="auto"/>
            <w:vAlign w:val="top"/>
          </w:tcPr>
          <w:p>
            <w:pPr>
              <w:spacing w:after="0"/>
              <w:rPr>
                <w:rFonts w:ascii="Calibri" w:hAnsi="Calibri" w:cs="Calibri"/>
                <w:color w:val="000000"/>
                <w:sz w:val="14"/>
                <w:szCs w:val="14"/>
                <w:lang w:eastAsia="en-GB"/>
              </w:rPr>
            </w:pPr>
            <w:r>
              <w:rPr>
                <w:rFonts w:ascii="Calibri" w:hAnsi="Calibri" w:cs="Calibri"/>
                <w:color w:val="000000"/>
                <w:sz w:val="14"/>
                <w:szCs w:val="14"/>
                <w:lang w:eastAsia="en-GB"/>
              </w:rPr>
              <w:fldChar w:fldCharType="begin"/>
            </w:r>
            <w:r>
              <w:rPr>
                <w:rFonts w:ascii="Calibri" w:hAnsi="Calibri" w:cs="Calibri"/>
                <w:color w:val="000000"/>
                <w:sz w:val="14"/>
                <w:szCs w:val="14"/>
                <w:lang w:eastAsia="en-GB"/>
              </w:rPr>
              <w:instrText xml:space="preserve"> HYPERLINK "https://www.3gpp.org/ftp/Information/WI_Sheet/CP-230198.zip" </w:instrText>
            </w:r>
            <w:r>
              <w:rPr>
                <w:rFonts w:ascii="Calibri" w:hAnsi="Calibri" w:cs="Calibri"/>
                <w:color w:val="000000"/>
                <w:sz w:val="14"/>
                <w:szCs w:val="14"/>
                <w:lang w:eastAsia="en-GB"/>
              </w:rPr>
              <w:fldChar w:fldCharType="separate"/>
            </w:r>
            <w:r>
              <w:rPr>
                <w:rFonts w:ascii="Calibri" w:hAnsi="Calibri" w:cs="Calibri"/>
                <w:color w:val="000000"/>
                <w:sz w:val="14"/>
                <w:szCs w:val="14"/>
                <w:lang w:eastAsia="en-GB"/>
              </w:rPr>
              <w:t>CP-230198</w:t>
            </w:r>
            <w:r>
              <w:rPr>
                <w:rFonts w:ascii="Calibri" w:hAnsi="Calibri" w:cs="Calibri"/>
                <w:color w:val="000000"/>
                <w:sz w:val="14"/>
                <w:szCs w:val="14"/>
                <w:lang w:eastAsia="en-GB"/>
              </w:rPr>
              <w:fldChar w:fldCharType="end"/>
            </w:r>
          </w:p>
        </w:tc>
        <w:tc>
          <w:tcPr>
            <w:tcW w:w="1519" w:type="dxa"/>
            <w:shd w:val="clear" w:color="000000" w:fill="auto"/>
            <w:vAlign w:val="top"/>
          </w:tcPr>
          <w:p>
            <w:pPr>
              <w:spacing w:after="0"/>
              <w:rPr>
                <w:rFonts w:ascii="Calibri" w:hAnsi="Calibri" w:cs="Calibri"/>
                <w:color w:val="000000"/>
                <w:sz w:val="14"/>
                <w:szCs w:val="14"/>
                <w:lang w:val="en-GB" w:eastAsia="en-GB"/>
              </w:rPr>
            </w:pPr>
            <w:r>
              <w:rPr>
                <w:rFonts w:ascii="Calibri" w:hAnsi="Calibri" w:cs="Calibri"/>
                <w:color w:val="000000"/>
                <w:sz w:val="14"/>
                <w:szCs w:val="14"/>
                <w:lang w:eastAsia="en-GB"/>
              </w:rPr>
              <w:t xml:space="preserve">Liu, Yue, China Mobile </w:t>
            </w:r>
          </w:p>
        </w:tc>
      </w:tr>
      <w:tr>
        <w:tblPrEx>
          <w:tblBorders>
            <w:top w:val="none" w:color="auto" w:sz="0" w:space="0"/>
            <w:left w:val="none" w:color="auto" w:sz="0" w:space="0"/>
            <w:bottom w:val="single" w:color="auto" w:sz="8" w:space="0"/>
            <w:right w:val="single" w:color="auto" w:sz="8" w:space="0"/>
            <w:insideH w:val="single" w:color="auto" w:sz="8" w:space="0"/>
            <w:insideV w:val="single" w:color="auto" w:sz="8" w:space="0"/>
          </w:tblBorders>
          <w:shd w:val="clear" w:color="000000" w:fill="auto"/>
        </w:tblPrEx>
        <w:trPr>
          <w:trHeight w:val="170" w:hRule="atLeast"/>
        </w:trPr>
        <w:tc>
          <w:tcPr>
            <w:tcW w:w="948" w:type="dxa"/>
            <w:tcBorders>
              <w:top w:val="single" w:color="auto" w:sz="8" w:space="0"/>
              <w:left w:val="single" w:color="auto" w:sz="8" w:space="0"/>
            </w:tcBorders>
            <w:shd w:val="clear" w:color="000000" w:fill="auto"/>
            <w:vAlign w:val="top"/>
          </w:tcPr>
          <w:p>
            <w:pPr>
              <w:rPr>
                <w:rFonts w:ascii="Arial" w:hAnsi="Arial" w:cs="Arial"/>
                <w:b/>
                <w:bCs/>
                <w:color w:val="000000"/>
                <w:sz w:val="12"/>
                <w:szCs w:val="12"/>
                <w:lang w:eastAsia="en-GB"/>
              </w:rPr>
            </w:pPr>
            <w:r>
              <w:rPr>
                <w:rFonts w:ascii="Arial" w:hAnsi="Arial" w:cs="Arial"/>
                <w:b/>
                <w:bCs/>
                <w:color w:val="000000"/>
                <w:sz w:val="12"/>
                <w:szCs w:val="12"/>
                <w:lang w:eastAsia="en-GB"/>
              </w:rPr>
              <w:t>990099</w:t>
            </w:r>
          </w:p>
        </w:tc>
        <w:tc>
          <w:tcPr>
            <w:tcW w:w="4993" w:type="dxa"/>
            <w:shd w:val="clear" w:color="000000" w:fill="auto"/>
            <w:vAlign w:val="top"/>
          </w:tcPr>
          <w:p>
            <w:pPr>
              <w:spacing w:after="0"/>
              <w:rPr>
                <w:rFonts w:ascii="Arial" w:hAnsi="Arial" w:cs="Arial"/>
                <w:color w:val="000000"/>
                <w:sz w:val="14"/>
                <w:szCs w:val="14"/>
                <w:lang w:eastAsia="en-GB"/>
              </w:rPr>
            </w:pPr>
            <w:r>
              <w:rPr>
                <w:rFonts w:ascii="Arial" w:hAnsi="Arial" w:cs="Arial"/>
                <w:color w:val="000000"/>
                <w:sz w:val="14"/>
                <w:szCs w:val="14"/>
                <w:lang w:eastAsia="en-GB"/>
              </w:rPr>
              <w:t xml:space="preserve">   CT3 aspects of 5GMARCH_Ph2</w:t>
            </w:r>
          </w:p>
        </w:tc>
        <w:tc>
          <w:tcPr>
            <w:tcW w:w="1378" w:type="dxa"/>
            <w:shd w:val="clear" w:color="000000" w:fill="auto"/>
            <w:noWrap/>
          </w:tcPr>
          <w:p>
            <w:pPr>
              <w:spacing w:after="0"/>
              <w:rPr>
                <w:rFonts w:ascii="Calibri" w:hAnsi="Calibri" w:cs="Calibri"/>
                <w:color w:val="000000"/>
                <w:sz w:val="14"/>
                <w:szCs w:val="14"/>
                <w:lang w:eastAsia="en-GB"/>
              </w:rPr>
            </w:pPr>
            <w:r>
              <w:rPr>
                <w:rFonts w:ascii="Calibri" w:hAnsi="Calibri" w:cs="Calibri"/>
                <w:color w:val="000000"/>
                <w:sz w:val="14"/>
                <w:szCs w:val="14"/>
                <w:lang w:eastAsia="en-GB"/>
              </w:rPr>
              <w:t>5GMARCH_Ph2</w:t>
            </w:r>
          </w:p>
        </w:tc>
        <w:tc>
          <w:tcPr>
            <w:tcW w:w="613" w:type="dxa"/>
            <w:shd w:val="clear" w:color="000000" w:fill="auto"/>
          </w:tcPr>
          <w:p>
            <w:pPr>
              <w:spacing w:after="0"/>
              <w:rPr>
                <w:rFonts w:hint="eastAsia" w:ascii="Calibri" w:hAnsi="Calibri" w:eastAsia="宋体" w:cs="Calibri"/>
                <w:color w:val="000000"/>
                <w:sz w:val="14"/>
                <w:szCs w:val="14"/>
                <w:lang w:eastAsia="zh-CN"/>
              </w:rPr>
            </w:pPr>
            <w:r>
              <w:rPr>
                <w:rFonts w:ascii="Calibri" w:hAnsi="Calibri" w:cs="Calibri"/>
                <w:color w:val="000000"/>
                <w:sz w:val="14"/>
                <w:szCs w:val="14"/>
                <w:lang w:eastAsia="en-GB"/>
              </w:rPr>
              <w:t>C</w:t>
            </w:r>
            <w:r>
              <w:rPr>
                <w:rFonts w:hint="eastAsia" w:ascii="Calibri" w:hAnsi="Calibri" w:eastAsia="宋体" w:cs="Calibri"/>
                <w:color w:val="000000"/>
                <w:sz w:val="14"/>
                <w:szCs w:val="14"/>
                <w:lang w:val="en-US" w:eastAsia="zh-CN"/>
              </w:rPr>
              <w:t>3</w:t>
            </w:r>
          </w:p>
        </w:tc>
        <w:tc>
          <w:tcPr>
            <w:tcW w:w="949" w:type="dxa"/>
            <w:shd w:val="clear" w:color="000000" w:fill="auto"/>
            <w:vAlign w:val="top"/>
          </w:tcPr>
          <w:p>
            <w:pPr>
              <w:spacing w:after="0"/>
              <w:rPr>
                <w:rFonts w:ascii="Calibri" w:hAnsi="Calibri" w:cs="Calibri"/>
                <w:color w:val="000000"/>
                <w:sz w:val="14"/>
                <w:szCs w:val="14"/>
                <w:lang w:eastAsia="en-GB"/>
              </w:rPr>
            </w:pPr>
            <w:r>
              <w:rPr>
                <w:rFonts w:ascii="Calibri" w:hAnsi="Calibri" w:cs="Calibri"/>
                <w:color w:val="000000"/>
                <w:sz w:val="14"/>
                <w:szCs w:val="14"/>
                <w:lang w:eastAsia="en-GB"/>
              </w:rPr>
              <w:fldChar w:fldCharType="begin"/>
            </w:r>
            <w:r>
              <w:rPr>
                <w:rFonts w:ascii="Calibri" w:hAnsi="Calibri" w:cs="Calibri"/>
                <w:color w:val="000000"/>
                <w:sz w:val="14"/>
                <w:szCs w:val="14"/>
                <w:lang w:eastAsia="en-GB"/>
              </w:rPr>
              <w:instrText xml:space="preserve"> HYPERLINK "https://www.3gpp.org/ftp/Information/WI_Sheet/CP-230198.zip" </w:instrText>
            </w:r>
            <w:r>
              <w:rPr>
                <w:rFonts w:ascii="Calibri" w:hAnsi="Calibri" w:cs="Calibri"/>
                <w:color w:val="000000"/>
                <w:sz w:val="14"/>
                <w:szCs w:val="14"/>
                <w:lang w:eastAsia="en-GB"/>
              </w:rPr>
              <w:fldChar w:fldCharType="separate"/>
            </w:r>
            <w:r>
              <w:rPr>
                <w:rFonts w:ascii="Calibri" w:hAnsi="Calibri" w:cs="Calibri"/>
                <w:color w:val="000000"/>
                <w:sz w:val="14"/>
                <w:szCs w:val="14"/>
                <w:lang w:eastAsia="en-GB"/>
              </w:rPr>
              <w:t>CP-230198</w:t>
            </w:r>
            <w:r>
              <w:rPr>
                <w:rFonts w:ascii="Calibri" w:hAnsi="Calibri" w:cs="Calibri"/>
                <w:color w:val="000000"/>
                <w:sz w:val="14"/>
                <w:szCs w:val="14"/>
                <w:lang w:eastAsia="en-GB"/>
              </w:rPr>
              <w:fldChar w:fldCharType="end"/>
            </w:r>
          </w:p>
        </w:tc>
        <w:tc>
          <w:tcPr>
            <w:tcW w:w="1519" w:type="dxa"/>
            <w:shd w:val="clear" w:color="000000" w:fill="auto"/>
            <w:vAlign w:val="top"/>
          </w:tcPr>
          <w:p>
            <w:pPr>
              <w:spacing w:after="0"/>
              <w:rPr>
                <w:rFonts w:ascii="Calibri" w:hAnsi="Calibri" w:cs="Calibri"/>
                <w:color w:val="000000"/>
                <w:sz w:val="14"/>
                <w:szCs w:val="14"/>
                <w:lang w:val="en-GB" w:eastAsia="en-GB"/>
              </w:rPr>
            </w:pPr>
            <w:r>
              <w:rPr>
                <w:rFonts w:ascii="Calibri" w:hAnsi="Calibri" w:cs="Calibri"/>
                <w:color w:val="000000"/>
                <w:sz w:val="14"/>
                <w:szCs w:val="14"/>
                <w:lang w:eastAsia="en-GB"/>
              </w:rPr>
              <w:t xml:space="preserve">Liu, Yue, China Mobile </w:t>
            </w:r>
          </w:p>
        </w:tc>
      </w:tr>
      <w:tr>
        <w:tblPrEx>
          <w:tblBorders>
            <w:top w:val="none" w:color="auto" w:sz="0" w:space="0"/>
            <w:left w:val="none" w:color="auto" w:sz="0" w:space="0"/>
            <w:bottom w:val="single" w:color="auto" w:sz="8" w:space="0"/>
            <w:right w:val="single" w:color="auto" w:sz="8" w:space="0"/>
            <w:insideH w:val="single" w:color="auto" w:sz="8" w:space="0"/>
            <w:insideV w:val="single" w:color="auto" w:sz="8" w:space="0"/>
          </w:tblBorders>
        </w:tblPrEx>
        <w:trPr>
          <w:trHeight w:val="170" w:hRule="atLeast"/>
        </w:trPr>
        <w:tc>
          <w:tcPr>
            <w:tcW w:w="948" w:type="dxa"/>
            <w:tcBorders>
              <w:top w:val="single" w:color="auto" w:sz="8" w:space="0"/>
              <w:left w:val="single" w:color="auto" w:sz="8" w:space="0"/>
            </w:tcBorders>
            <w:shd w:val="clear" w:color="000000" w:fill="auto"/>
            <w:vAlign w:val="top"/>
          </w:tcPr>
          <w:p>
            <w:pPr>
              <w:rPr>
                <w:rFonts w:ascii="Arial" w:hAnsi="Arial" w:cs="Arial"/>
                <w:b/>
                <w:bCs/>
                <w:color w:val="000000"/>
                <w:sz w:val="12"/>
                <w:szCs w:val="12"/>
                <w:lang w:eastAsia="en-GB"/>
              </w:rPr>
            </w:pPr>
            <w:r>
              <w:rPr>
                <w:rFonts w:ascii="Arial" w:hAnsi="Arial" w:cs="Arial"/>
                <w:b/>
                <w:bCs/>
                <w:color w:val="000000"/>
                <w:sz w:val="12"/>
                <w:szCs w:val="12"/>
                <w:lang w:eastAsia="en-GB"/>
              </w:rPr>
              <w:t>990041</w:t>
            </w:r>
          </w:p>
        </w:tc>
        <w:tc>
          <w:tcPr>
            <w:tcW w:w="4993" w:type="dxa"/>
            <w:shd w:val="clear" w:color="000000" w:fill="auto"/>
          </w:tcPr>
          <w:p>
            <w:pPr>
              <w:spacing w:after="0"/>
              <w:rPr>
                <w:rFonts w:ascii="Arial" w:hAnsi="Arial" w:cs="Arial"/>
                <w:color w:val="000000"/>
                <w:sz w:val="14"/>
                <w:szCs w:val="14"/>
                <w:lang w:eastAsia="en-GB"/>
              </w:rPr>
            </w:pPr>
            <w:r>
              <w:rPr>
                <w:rFonts w:hint="eastAsia" w:ascii="Arial" w:hAnsi="Arial" w:cs="Arial"/>
                <w:b/>
                <w:bCs/>
                <w:color w:val="000000"/>
                <w:sz w:val="16"/>
                <w:szCs w:val="16"/>
                <w:lang w:eastAsia="en-GB"/>
              </w:rPr>
              <w:t xml:space="preserve">   Security aspects of MSGin5G Ph2 </w:t>
            </w:r>
          </w:p>
        </w:tc>
        <w:tc>
          <w:tcPr>
            <w:tcW w:w="1378" w:type="dxa"/>
            <w:shd w:val="clear" w:color="000000" w:fill="auto"/>
            <w:noWrap/>
          </w:tcPr>
          <w:p>
            <w:pPr>
              <w:spacing w:after="0"/>
              <w:rPr>
                <w:rFonts w:ascii="Calibri" w:hAnsi="Calibri" w:cs="Calibri"/>
                <w:color w:val="000000"/>
                <w:sz w:val="14"/>
                <w:szCs w:val="14"/>
                <w:lang w:eastAsia="en-GB"/>
              </w:rPr>
            </w:pPr>
            <w:r>
              <w:rPr>
                <w:rFonts w:hint="eastAsia" w:ascii="Calibri" w:hAnsi="Calibri" w:cs="Calibri"/>
                <w:color w:val="000000"/>
                <w:sz w:val="14"/>
                <w:szCs w:val="14"/>
                <w:lang w:eastAsia="en-GB"/>
              </w:rPr>
              <w:t>5GMARCH_Ph2_SEC</w:t>
            </w:r>
          </w:p>
        </w:tc>
        <w:tc>
          <w:tcPr>
            <w:tcW w:w="613" w:type="dxa"/>
            <w:shd w:val="clear" w:color="000000" w:fill="auto"/>
          </w:tcPr>
          <w:p>
            <w:pPr>
              <w:spacing w:after="0"/>
              <w:rPr>
                <w:rFonts w:ascii="Calibri" w:hAnsi="Calibri" w:cs="Calibri"/>
                <w:color w:val="000000"/>
                <w:sz w:val="14"/>
                <w:szCs w:val="14"/>
                <w:lang w:eastAsia="en-GB"/>
              </w:rPr>
            </w:pPr>
            <w:r>
              <w:rPr>
                <w:rFonts w:hint="eastAsia" w:ascii="Calibri" w:hAnsi="Calibri" w:eastAsia="宋体" w:cs="Calibri"/>
                <w:color w:val="000000"/>
                <w:sz w:val="14"/>
                <w:szCs w:val="14"/>
                <w:lang w:val="en-US" w:eastAsia="zh-CN"/>
              </w:rPr>
              <w:t>S</w:t>
            </w:r>
            <w:r>
              <w:rPr>
                <w:rFonts w:ascii="Calibri" w:hAnsi="Calibri" w:cs="Calibri"/>
                <w:color w:val="000000"/>
                <w:sz w:val="14"/>
                <w:szCs w:val="14"/>
                <w:lang w:eastAsia="en-GB"/>
              </w:rPr>
              <w:t>3</w:t>
            </w:r>
          </w:p>
        </w:tc>
        <w:tc>
          <w:tcPr>
            <w:tcW w:w="949" w:type="dxa"/>
            <w:shd w:val="clear" w:color="000000" w:fill="auto"/>
            <w:vAlign w:val="top"/>
          </w:tcPr>
          <w:p>
            <w:pPr>
              <w:spacing w:after="0"/>
              <w:rPr>
                <w:rFonts w:ascii="Calibri" w:hAnsi="Calibri" w:cs="Calibri"/>
                <w:color w:val="000000"/>
                <w:sz w:val="14"/>
                <w:szCs w:val="14"/>
                <w:lang w:eastAsia="en-GB"/>
              </w:rPr>
            </w:pPr>
            <w:r>
              <w:rPr>
                <w:rFonts w:ascii="Calibri" w:hAnsi="Calibri" w:cs="Calibri"/>
                <w:color w:val="000000"/>
                <w:sz w:val="14"/>
                <w:szCs w:val="14"/>
                <w:lang w:eastAsia="en-GB"/>
              </w:rPr>
              <w:fldChar w:fldCharType="begin"/>
            </w:r>
            <w:r>
              <w:rPr>
                <w:rFonts w:ascii="Calibri" w:hAnsi="Calibri" w:cs="Calibri"/>
                <w:color w:val="000000"/>
                <w:sz w:val="14"/>
                <w:szCs w:val="14"/>
                <w:lang w:eastAsia="en-GB"/>
              </w:rPr>
              <w:instrText xml:space="preserve"> HYPERLINK "https://www.3gpp.org/ftp/Information/WI_Sheet/SP-230154.zip" </w:instrText>
            </w:r>
            <w:r>
              <w:rPr>
                <w:rFonts w:ascii="Calibri" w:hAnsi="Calibri" w:cs="Calibri"/>
                <w:color w:val="000000"/>
                <w:sz w:val="14"/>
                <w:szCs w:val="14"/>
                <w:lang w:eastAsia="en-GB"/>
              </w:rPr>
              <w:fldChar w:fldCharType="separate"/>
            </w:r>
            <w:r>
              <w:rPr>
                <w:rFonts w:ascii="Calibri" w:hAnsi="Calibri" w:cs="Calibri"/>
                <w:color w:val="000000"/>
                <w:sz w:val="14"/>
                <w:szCs w:val="14"/>
                <w:lang w:eastAsia="en-GB"/>
              </w:rPr>
              <w:t>SP-230154</w:t>
            </w:r>
            <w:r>
              <w:rPr>
                <w:rFonts w:ascii="Calibri" w:hAnsi="Calibri" w:cs="Calibri"/>
                <w:color w:val="000000"/>
                <w:sz w:val="14"/>
                <w:szCs w:val="14"/>
                <w:lang w:eastAsia="en-GB"/>
              </w:rPr>
              <w:fldChar w:fldCharType="end"/>
            </w:r>
          </w:p>
        </w:tc>
        <w:tc>
          <w:tcPr>
            <w:tcW w:w="1519" w:type="dxa"/>
            <w:shd w:val="clear" w:color="000000" w:fill="auto"/>
            <w:vAlign w:val="top"/>
          </w:tcPr>
          <w:p>
            <w:pPr>
              <w:spacing w:after="0"/>
              <w:rPr>
                <w:rFonts w:ascii="Calibri" w:hAnsi="Calibri" w:cs="Calibri"/>
                <w:color w:val="000000"/>
                <w:sz w:val="14"/>
                <w:szCs w:val="14"/>
                <w:lang w:val="en-GB" w:eastAsia="en-GB"/>
              </w:rPr>
            </w:pPr>
            <w:r>
              <w:rPr>
                <w:rFonts w:ascii="Calibri" w:hAnsi="Calibri" w:cs="Calibri"/>
                <w:color w:val="000000"/>
                <w:sz w:val="14"/>
                <w:szCs w:val="14"/>
                <w:lang w:eastAsia="en-GB"/>
              </w:rPr>
              <w:t xml:space="preserve">Huang Xiaoting, China Mobile </w:t>
            </w:r>
          </w:p>
        </w:tc>
      </w:tr>
    </w:tbl>
    <w:p>
      <w:pPr>
        <w:rPr>
          <w:lang w:eastAsia="en-GB"/>
        </w:rPr>
      </w:pPr>
    </w:p>
    <w:p>
      <w:pPr>
        <w:rPr>
          <w:b/>
        </w:rPr>
      </w:pPr>
      <w:r>
        <w:rPr>
          <w:b/>
        </w:rPr>
        <w:t>Introduction</w:t>
      </w:r>
    </w:p>
    <w:p>
      <w:r>
        <w:rPr>
          <w:rFonts w:hint="eastAsia" w:eastAsia="宋体"/>
          <w:lang w:eastAsia="zh-CN"/>
        </w:rPr>
        <w:t>T</w:t>
      </w:r>
      <w:r>
        <w:t xml:space="preserve">he </w:t>
      </w:r>
      <w:r>
        <w:rPr>
          <w:rFonts w:hint="eastAsia" w:eastAsia="宋体"/>
          <w:lang w:eastAsia="zh-CN"/>
        </w:rPr>
        <w:t xml:space="preserve">WI </w:t>
      </w:r>
      <w:r>
        <w:t>"Application Architecture for MSGin5G Service</w:t>
      </w:r>
      <w:r>
        <w:rPr>
          <w:rFonts w:hint="eastAsia" w:eastAsia="宋体"/>
          <w:lang w:val="en-US" w:eastAsia="zh-CN"/>
        </w:rPr>
        <w:t xml:space="preserve"> Phase 2 </w:t>
      </w:r>
      <w:r>
        <w:rPr>
          <w:rFonts w:hint="eastAsia" w:eastAsia="宋体"/>
          <w:lang w:eastAsia="zh-CN"/>
        </w:rPr>
        <w:t>(5GMARCH</w:t>
      </w:r>
      <w:r>
        <w:rPr>
          <w:rFonts w:hint="eastAsia" w:eastAsia="宋体"/>
          <w:lang w:val="en-US" w:eastAsia="zh-CN"/>
        </w:rPr>
        <w:t>_Ph2</w:t>
      </w:r>
      <w:r>
        <w:rPr>
          <w:rFonts w:hint="eastAsia" w:eastAsia="宋体"/>
          <w:lang w:eastAsia="zh-CN"/>
        </w:rPr>
        <w:t>)</w:t>
      </w:r>
      <w:r>
        <w:t xml:space="preserve">" </w:t>
      </w:r>
      <w:r>
        <w:rPr>
          <w:rFonts w:hint="eastAsia" w:eastAsia="宋体"/>
          <w:lang w:eastAsia="zh-CN"/>
        </w:rPr>
        <w:t>is</w:t>
      </w:r>
      <w:r>
        <w:t xml:space="preserve"> specified in </w:t>
      </w:r>
      <w:r>
        <w:rPr>
          <w:rFonts w:hint="eastAsia" w:eastAsia="宋体"/>
          <w:lang w:eastAsia="zh-CN"/>
        </w:rPr>
        <w:t>3GPP</w:t>
      </w:r>
      <w:r>
        <w:t> TS 23.</w:t>
      </w:r>
      <w:r>
        <w:rPr>
          <w:rFonts w:hint="eastAsia"/>
        </w:rPr>
        <w:t>554</w:t>
      </w:r>
      <w:r>
        <w:t xml:space="preserve"> [1] in order to </w:t>
      </w:r>
      <w:r>
        <w:rPr>
          <w:rFonts w:hint="eastAsia" w:eastAsia="宋体"/>
          <w:lang w:val="en-US" w:eastAsia="zh-CN"/>
        </w:rPr>
        <w:t xml:space="preserve">enhance the MSGin5G service, i.e. </w:t>
      </w:r>
      <w:r>
        <w:rPr>
          <w:rFonts w:hint="eastAsia"/>
          <w:lang w:eastAsia="zh-CN"/>
        </w:rPr>
        <w:t>messaging communication in 5GS</w:t>
      </w:r>
      <w:r>
        <w:rPr>
          <w:rFonts w:hint="eastAsia"/>
          <w:lang w:val="en-US" w:eastAsia="zh-CN"/>
        </w:rPr>
        <w:t xml:space="preserve"> </w:t>
      </w:r>
      <w:r>
        <w:rPr>
          <w:rFonts w:hint="eastAsia"/>
          <w:lang w:eastAsia="zh-CN"/>
        </w:rPr>
        <w:t xml:space="preserve">especially for </w:t>
      </w:r>
      <w:r>
        <w:rPr>
          <w:lang w:eastAsia="zh-CN"/>
        </w:rPr>
        <w:t>Massive Internet of Things (MIoT</w:t>
      </w:r>
      <w:r>
        <w:rPr>
          <w:rFonts w:hint="eastAsia"/>
          <w:lang w:val="en-US" w:eastAsia="zh-CN"/>
        </w:rPr>
        <w:t>), introduced in Rel-17 5GMARCH WI.</w:t>
      </w:r>
      <w:r>
        <w:rPr>
          <w:rFonts w:hint="eastAsia" w:eastAsia="宋体"/>
          <w:lang w:eastAsia="zh-CN"/>
        </w:rPr>
        <w:t xml:space="preserve"> T</w:t>
      </w:r>
      <w:r>
        <w:t>he</w:t>
      </w:r>
      <w:r>
        <w:rPr>
          <w:rFonts w:hint="eastAsia" w:eastAsia="宋体"/>
          <w:lang w:eastAsia="zh-CN"/>
        </w:rPr>
        <w:t xml:space="preserve"> related</w:t>
      </w:r>
      <w:r>
        <w:t xml:space="preserve"> </w:t>
      </w:r>
      <w:r>
        <w:rPr>
          <w:rFonts w:hint="eastAsia" w:eastAsia="宋体"/>
          <w:lang w:eastAsia="zh-CN"/>
        </w:rPr>
        <w:t xml:space="preserve">stage 1 </w:t>
      </w:r>
      <w:r>
        <w:rPr>
          <w:rFonts w:eastAsia="宋体"/>
          <w:color w:val="000000"/>
          <w:lang w:eastAsia="zh-CN"/>
        </w:rPr>
        <w:t xml:space="preserve">service level requirements </w:t>
      </w:r>
      <w:r>
        <w:rPr>
          <w:rFonts w:hint="eastAsia" w:eastAsia="宋体"/>
          <w:color w:val="000000"/>
          <w:lang w:eastAsia="zh-CN"/>
        </w:rPr>
        <w:t>are</w:t>
      </w:r>
      <w:r>
        <w:t xml:space="preserve"> specified by </w:t>
      </w:r>
      <w:r>
        <w:rPr>
          <w:rFonts w:hint="eastAsia" w:eastAsia="宋体"/>
          <w:lang w:eastAsia="zh-CN"/>
        </w:rPr>
        <w:t xml:space="preserve">Rel.16 WI </w:t>
      </w:r>
      <w:r>
        <w:t xml:space="preserve">5GMSG in </w:t>
      </w:r>
      <w:r>
        <w:rPr>
          <w:rFonts w:hint="eastAsia"/>
        </w:rPr>
        <w:t>3GPP</w:t>
      </w:r>
      <w:r>
        <w:t> TS 22.</w:t>
      </w:r>
      <w:r>
        <w:rPr>
          <w:rFonts w:hint="eastAsia"/>
        </w:rPr>
        <w:t>262</w:t>
      </w:r>
      <w:r>
        <w:t xml:space="preserve"> [2]</w:t>
      </w:r>
      <w:r>
        <w:rPr>
          <w:rFonts w:hint="eastAsia" w:eastAsia="宋体"/>
          <w:lang w:eastAsia="zh-CN"/>
        </w:rPr>
        <w:t>.</w:t>
      </w:r>
    </w:p>
    <w:p>
      <w:pPr>
        <w:rPr>
          <w:b/>
        </w:rPr>
      </w:pPr>
      <w:r>
        <w:rPr>
          <w:b/>
        </w:rPr>
        <w:t>Description</w:t>
      </w:r>
    </w:p>
    <w:p>
      <w:pPr>
        <w:rPr>
          <w:rFonts w:hint="eastAsia" w:eastAsia="宋体"/>
          <w:lang w:eastAsia="zh-CN"/>
        </w:rPr>
      </w:pPr>
      <w:r>
        <w:rPr>
          <w:lang w:eastAsia="en-GB"/>
        </w:rPr>
        <w:t xml:space="preserve">The following </w:t>
      </w:r>
      <w:r>
        <w:rPr>
          <w:rFonts w:hint="eastAsia" w:eastAsia="宋体"/>
          <w:lang w:eastAsia="zh-CN"/>
        </w:rPr>
        <w:t>aspects</w:t>
      </w:r>
      <w:r>
        <w:rPr>
          <w:lang w:eastAsia="en-GB"/>
        </w:rPr>
        <w:t xml:space="preserve"> are specified in Rel.1</w:t>
      </w:r>
      <w:r>
        <w:rPr>
          <w:rFonts w:hint="eastAsia" w:eastAsia="宋体"/>
          <w:lang w:eastAsia="zh-CN"/>
        </w:rPr>
        <w:t>7</w:t>
      </w:r>
      <w:r>
        <w:rPr>
          <w:lang w:eastAsia="en-GB"/>
        </w:rPr>
        <w:t xml:space="preserve"> for the support of </w:t>
      </w:r>
      <w:r>
        <w:rPr>
          <w:rFonts w:hint="eastAsia" w:eastAsia="宋体"/>
          <w:lang w:eastAsia="zh-CN"/>
        </w:rPr>
        <w:t>MSGin5G service</w:t>
      </w:r>
      <w:r>
        <w:rPr>
          <w:lang w:eastAsia="en-GB"/>
        </w:rPr>
        <w:t>:</w:t>
      </w:r>
    </w:p>
    <w:p>
      <w:pPr>
        <w:rPr>
          <w:rFonts w:hint="eastAsia"/>
          <w:lang w:eastAsia="en-GB"/>
        </w:rPr>
      </w:pPr>
      <w:r>
        <w:rPr>
          <w:lang w:eastAsia="en-GB"/>
        </w:rPr>
        <w:t>•</w:t>
      </w:r>
      <w:r>
        <w:rPr>
          <w:lang w:eastAsia="en-GB"/>
        </w:rPr>
        <w:tab/>
      </w:r>
      <w:r>
        <w:rPr>
          <w:lang w:eastAsia="en-GB"/>
        </w:rPr>
        <w:t xml:space="preserve">functional architecture, procedures, information flows and APIs for </w:t>
      </w:r>
      <w:r>
        <w:rPr>
          <w:rFonts w:hint="eastAsia"/>
          <w:lang w:eastAsia="en-GB"/>
        </w:rPr>
        <w:t>MSGin5G</w:t>
      </w:r>
      <w:r>
        <w:rPr>
          <w:lang w:eastAsia="en-GB"/>
        </w:rPr>
        <w:t xml:space="preserve"> Service</w:t>
      </w:r>
      <w:r>
        <w:rPr>
          <w:rFonts w:hint="eastAsia"/>
          <w:lang w:eastAsia="en-GB"/>
        </w:rPr>
        <w:t xml:space="preserve"> </w:t>
      </w:r>
      <w:r>
        <w:rPr>
          <w:lang w:eastAsia="en-GB"/>
        </w:rPr>
        <w:t xml:space="preserve">are specified in </w:t>
      </w:r>
      <w:r>
        <w:rPr>
          <w:rFonts w:hint="eastAsia"/>
          <w:lang w:eastAsia="en-GB"/>
        </w:rPr>
        <w:t>3GPP</w:t>
      </w:r>
      <w:r>
        <w:rPr>
          <w:lang w:eastAsia="en-GB"/>
        </w:rPr>
        <w:t> TS 23.</w:t>
      </w:r>
      <w:r>
        <w:rPr>
          <w:rFonts w:hint="eastAsia"/>
          <w:lang w:eastAsia="en-GB"/>
        </w:rPr>
        <w:t>554</w:t>
      </w:r>
      <w:r>
        <w:rPr>
          <w:lang w:eastAsia="en-GB"/>
        </w:rPr>
        <w:t xml:space="preserve"> [1]</w:t>
      </w:r>
      <w:r>
        <w:rPr>
          <w:rFonts w:hint="eastAsia"/>
          <w:lang w:eastAsia="en-GB"/>
        </w:rPr>
        <w:t>;</w:t>
      </w:r>
    </w:p>
    <w:p>
      <w:pPr>
        <w:rPr>
          <w:rFonts w:hint="eastAsia"/>
          <w:lang w:eastAsia="en-GB"/>
        </w:rPr>
      </w:pPr>
      <w:r>
        <w:rPr>
          <w:lang w:eastAsia="en-GB"/>
        </w:rPr>
        <w:t>•</w:t>
      </w:r>
      <w:r>
        <w:rPr>
          <w:lang w:eastAsia="en-GB"/>
        </w:rPr>
        <w:tab/>
      </w:r>
      <w:bookmarkStart w:id="1" w:name="_GoBack"/>
      <w:bookmarkEnd w:id="1"/>
      <w:r>
        <w:rPr>
          <w:rFonts w:hint="eastAsia"/>
          <w:lang w:eastAsia="en-GB"/>
        </w:rPr>
        <w:t>security aspects of</w:t>
      </w:r>
      <w:r>
        <w:rPr>
          <w:lang w:eastAsia="en-GB"/>
        </w:rPr>
        <w:t xml:space="preserve"> </w:t>
      </w:r>
      <w:r>
        <w:rPr>
          <w:rFonts w:hint="eastAsia"/>
          <w:lang w:eastAsia="en-GB"/>
        </w:rPr>
        <w:t>MSGin5G Service</w:t>
      </w:r>
      <w:r>
        <w:rPr>
          <w:lang w:eastAsia="en-GB"/>
        </w:rPr>
        <w:t xml:space="preserve"> </w:t>
      </w:r>
      <w:r>
        <w:rPr>
          <w:rFonts w:hint="eastAsia"/>
          <w:lang w:eastAsia="en-GB"/>
        </w:rPr>
        <w:t>are</w:t>
      </w:r>
      <w:r>
        <w:rPr>
          <w:lang w:eastAsia="en-GB"/>
        </w:rPr>
        <w:t xml:space="preserve"> specified </w:t>
      </w:r>
      <w:r>
        <w:rPr>
          <w:rFonts w:hint="eastAsia"/>
          <w:lang w:eastAsia="en-GB"/>
        </w:rPr>
        <w:t>in Annex</w:t>
      </w:r>
      <w:r>
        <w:rPr>
          <w:lang w:eastAsia="en-GB"/>
        </w:rPr>
        <w:t> </w:t>
      </w:r>
      <w:r>
        <w:rPr>
          <w:rFonts w:hint="eastAsia"/>
          <w:lang w:eastAsia="en-GB"/>
        </w:rPr>
        <w:t>Y of 3GPP</w:t>
      </w:r>
      <w:r>
        <w:rPr>
          <w:lang w:eastAsia="en-GB"/>
        </w:rPr>
        <w:t> TS </w:t>
      </w:r>
      <w:r>
        <w:rPr>
          <w:rFonts w:hint="eastAsia"/>
          <w:lang w:eastAsia="en-GB"/>
        </w:rPr>
        <w:t>33</w:t>
      </w:r>
      <w:r>
        <w:rPr>
          <w:lang w:eastAsia="en-GB"/>
        </w:rPr>
        <w:t>.</w:t>
      </w:r>
      <w:r>
        <w:rPr>
          <w:rFonts w:hint="eastAsia"/>
          <w:lang w:eastAsia="en-GB"/>
        </w:rPr>
        <w:t>501</w:t>
      </w:r>
      <w:r>
        <w:rPr>
          <w:lang w:eastAsia="en-GB"/>
        </w:rPr>
        <w:t xml:space="preserve"> [</w:t>
      </w:r>
      <w:r>
        <w:rPr>
          <w:rFonts w:hint="eastAsia"/>
          <w:lang w:eastAsia="en-GB"/>
        </w:rPr>
        <w:t>3</w:t>
      </w:r>
      <w:r>
        <w:rPr>
          <w:lang w:eastAsia="en-GB"/>
        </w:rPr>
        <w:t>]</w:t>
      </w:r>
      <w:r>
        <w:rPr>
          <w:rFonts w:hint="eastAsia"/>
          <w:lang w:eastAsia="en-GB"/>
        </w:rPr>
        <w:t>;</w:t>
      </w:r>
    </w:p>
    <w:p>
      <w:pPr>
        <w:rPr>
          <w:rFonts w:hint="eastAsia"/>
          <w:lang w:eastAsia="en-GB"/>
        </w:rPr>
      </w:pPr>
      <w:r>
        <w:rPr>
          <w:lang w:eastAsia="en-GB"/>
        </w:rPr>
        <w:t>•</w:t>
      </w:r>
      <w:r>
        <w:rPr>
          <w:lang w:eastAsia="en-GB"/>
        </w:rPr>
        <w:tab/>
      </w:r>
      <w:r>
        <w:rPr>
          <w:rFonts w:hint="eastAsia"/>
          <w:lang w:eastAsia="en-GB"/>
        </w:rPr>
        <w:t>the r</w:t>
      </w:r>
      <w:r>
        <w:rPr>
          <w:lang w:eastAsia="en-GB"/>
        </w:rPr>
        <w:t xml:space="preserve">elated detailed procedures over </w:t>
      </w:r>
      <w:r>
        <w:rPr>
          <w:rFonts w:hint="eastAsia"/>
          <w:lang w:eastAsia="en-GB"/>
        </w:rPr>
        <w:t>CoAP</w:t>
      </w:r>
      <w:r>
        <w:rPr>
          <w:lang w:eastAsia="en-GB"/>
        </w:rPr>
        <w:t xml:space="preserve"> protocol between </w:t>
      </w:r>
      <w:r>
        <w:rPr>
          <w:rFonts w:hint="eastAsia"/>
          <w:lang w:eastAsia="en-GB"/>
        </w:rPr>
        <w:t>MSGin5G C</w:t>
      </w:r>
      <w:r>
        <w:rPr>
          <w:lang w:eastAsia="en-GB"/>
        </w:rPr>
        <w:t xml:space="preserve">lient and </w:t>
      </w:r>
      <w:r>
        <w:rPr>
          <w:rFonts w:hint="eastAsia"/>
          <w:lang w:eastAsia="en-GB"/>
        </w:rPr>
        <w:t>MSGin5G Server</w:t>
      </w:r>
      <w:r>
        <w:rPr>
          <w:lang w:eastAsia="en-GB"/>
        </w:rPr>
        <w:t xml:space="preserve"> are specified in TS 24.</w:t>
      </w:r>
      <w:r>
        <w:rPr>
          <w:rFonts w:hint="eastAsia"/>
          <w:lang w:eastAsia="en-GB"/>
        </w:rPr>
        <w:t>538</w:t>
      </w:r>
      <w:r>
        <w:rPr>
          <w:lang w:eastAsia="en-GB"/>
        </w:rPr>
        <w:t xml:space="preserve"> [</w:t>
      </w:r>
      <w:r>
        <w:rPr>
          <w:rFonts w:hint="eastAsia"/>
          <w:lang w:eastAsia="en-GB"/>
        </w:rPr>
        <w:t>4</w:t>
      </w:r>
      <w:r>
        <w:rPr>
          <w:lang w:eastAsia="en-GB"/>
        </w:rPr>
        <w:t>]</w:t>
      </w:r>
      <w:r>
        <w:rPr>
          <w:rFonts w:hint="eastAsia"/>
          <w:lang w:eastAsia="en-GB"/>
        </w:rPr>
        <w:t>;</w:t>
      </w:r>
      <w:r>
        <w:rPr>
          <w:lang w:eastAsia="en-GB"/>
        </w:rPr>
        <w:t xml:space="preserve">and </w:t>
      </w:r>
    </w:p>
    <w:p>
      <w:pPr>
        <w:rPr>
          <w:rFonts w:hint="eastAsia"/>
          <w:lang w:eastAsia="en-GB"/>
        </w:rPr>
      </w:pPr>
      <w:r>
        <w:rPr>
          <w:lang w:eastAsia="en-GB"/>
        </w:rPr>
        <w:t>•</w:t>
      </w:r>
      <w:r>
        <w:rPr>
          <w:lang w:eastAsia="en-GB"/>
        </w:rPr>
        <w:tab/>
      </w:r>
      <w:r>
        <w:rPr>
          <w:lang w:eastAsia="en-GB"/>
        </w:rPr>
        <w:t xml:space="preserve">the RESTful APIs provided by </w:t>
      </w:r>
      <w:r>
        <w:rPr>
          <w:rFonts w:hint="eastAsia"/>
          <w:lang w:eastAsia="en-GB"/>
        </w:rPr>
        <w:t>MSGin5G</w:t>
      </w:r>
      <w:r>
        <w:rPr>
          <w:lang w:eastAsia="en-GB"/>
        </w:rPr>
        <w:t xml:space="preserve"> </w:t>
      </w:r>
      <w:r>
        <w:rPr>
          <w:rFonts w:hint="eastAsia"/>
          <w:lang w:eastAsia="en-GB"/>
        </w:rPr>
        <w:t>S</w:t>
      </w:r>
      <w:r>
        <w:rPr>
          <w:lang w:eastAsia="en-GB"/>
        </w:rPr>
        <w:t xml:space="preserve">erver towards the </w:t>
      </w:r>
      <w:r>
        <w:rPr>
          <w:rFonts w:hint="eastAsia"/>
          <w:lang w:eastAsia="en-GB"/>
        </w:rPr>
        <w:t>Application Server and Message Gateway</w:t>
      </w:r>
      <w:r>
        <w:rPr>
          <w:lang w:eastAsia="en-GB"/>
        </w:rPr>
        <w:t xml:space="preserve"> is specified in TS 29.</w:t>
      </w:r>
      <w:r>
        <w:rPr>
          <w:rFonts w:hint="eastAsia"/>
          <w:lang w:eastAsia="en-GB"/>
        </w:rPr>
        <w:t>538</w:t>
      </w:r>
      <w:r>
        <w:rPr>
          <w:lang w:eastAsia="en-GB"/>
        </w:rPr>
        <w:t xml:space="preserve"> [</w:t>
      </w:r>
      <w:r>
        <w:rPr>
          <w:rFonts w:hint="eastAsia"/>
          <w:lang w:eastAsia="en-GB"/>
        </w:rPr>
        <w:t>5</w:t>
      </w:r>
      <w:r>
        <w:rPr>
          <w:lang w:eastAsia="en-GB"/>
        </w:rPr>
        <w:t>]</w:t>
      </w:r>
      <w:r>
        <w:rPr>
          <w:rFonts w:hint="eastAsia"/>
          <w:lang w:eastAsia="en-GB"/>
        </w:rPr>
        <w:t>.</w:t>
      </w:r>
    </w:p>
    <w:p>
      <w:pPr>
        <w:rPr>
          <w:rFonts w:hint="eastAsia"/>
          <w:lang w:eastAsia="zh-CN"/>
        </w:rPr>
      </w:pPr>
      <w:r>
        <w:rPr>
          <w:lang w:eastAsia="ko-KR"/>
        </w:rPr>
        <w:t>Figure </w:t>
      </w:r>
      <w:r>
        <w:rPr>
          <w:rFonts w:hint="eastAsia"/>
          <w:lang w:val="en-US" w:eastAsia="zh-CN"/>
        </w:rPr>
        <w:t>1</w:t>
      </w:r>
      <w:r>
        <w:rPr>
          <w:lang w:eastAsia="ko-KR"/>
        </w:rPr>
        <w:t xml:space="preserve"> shows the application architecture of the</w:t>
      </w:r>
      <w:r>
        <w:rPr>
          <w:lang w:eastAsia="zh-CN"/>
        </w:rPr>
        <w:t xml:space="preserve"> MSGin5G</w:t>
      </w:r>
      <w:r>
        <w:rPr>
          <w:lang w:eastAsia="ko-KR"/>
        </w:rPr>
        <w:t xml:space="preserve"> service. </w:t>
      </w:r>
    </w:p>
    <w:p>
      <w:pPr>
        <w:pStyle w:val="84"/>
      </w:pPr>
      <w:r>
        <w:object>
          <v:shape id="_x0000_i1025" o:spt="75" type="#_x0000_t75" style="height:349.2pt;width:481.5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pPr>
        <w:pStyle w:val="92"/>
      </w:pPr>
      <w:r>
        <w:t>Figure </w:t>
      </w:r>
      <w:r>
        <w:rPr>
          <w:rFonts w:hint="eastAsia" w:eastAsia="宋体"/>
          <w:lang w:val="en-US" w:eastAsia="zh-CN"/>
        </w:rPr>
        <w:t>1</w:t>
      </w:r>
      <w:r>
        <w:t>: Application Architecture of the MSGin5G Service</w:t>
      </w:r>
    </w:p>
    <w:p>
      <w:pPr>
        <w:rPr>
          <w:lang w:eastAsia="en-GB"/>
        </w:rPr>
      </w:pPr>
      <w:r>
        <w:rPr>
          <w:lang w:eastAsia="en-GB"/>
        </w:rPr>
        <w:t>Figure </w:t>
      </w:r>
      <w:r>
        <w:rPr>
          <w:rFonts w:hint="eastAsia" w:eastAsia="宋体"/>
          <w:lang w:val="en-US" w:eastAsia="zh-CN"/>
        </w:rPr>
        <w:t>2</w:t>
      </w:r>
      <w:r>
        <w:rPr>
          <w:lang w:eastAsia="en-GB"/>
        </w:rPr>
        <w:t xml:space="preserve"> shows the application architecture of MSGin5G UE-2 using an UE-1 as a relay. The SEAL Client(s) residing on the UE-1 also acts as relay for the SEAL Client(s) residing on the MSGin5G UE-2 as specified in 3GPP TS 23.434 [</w:t>
      </w:r>
      <w:r>
        <w:rPr>
          <w:rFonts w:hint="eastAsia" w:eastAsia="宋体"/>
          <w:lang w:val="en-US" w:eastAsia="zh-CN"/>
        </w:rPr>
        <w:t>6</w:t>
      </w:r>
      <w:r>
        <w:rPr>
          <w:lang w:eastAsia="en-GB"/>
        </w:rPr>
        <w:t>].</w:t>
      </w:r>
    </w:p>
    <w:p>
      <w:pPr>
        <w:pStyle w:val="84"/>
        <w:rPr>
          <w:lang w:eastAsia="zh-CN"/>
        </w:rPr>
      </w:pPr>
      <w:r>
        <w:object>
          <v:shape id="_x0000_i1026" o:spt="75" type="#_x0000_t75" style="height:149pt;width:322.95pt;" o:ole="t" filled="f" o:preferrelative="t" stroked="f" coordsize="21600,21600">
            <v:path/>
            <v:fill on="f" focussize="0,0"/>
            <v:stroke on="f" joinstyle="miter"/>
            <v:imagedata r:id="rId10" o:title=""/>
            <o:lock v:ext="edit" aspectratio="t"/>
            <w10:wrap type="none"/>
            <w10:anchorlock/>
          </v:shape>
          <o:OLEObject Type="Embed" ProgID="Visio.Drawing.11" ShapeID="_x0000_i1026" DrawAspect="Content" ObjectID="_1468075726" r:id="rId9">
            <o:LockedField>false</o:LockedField>
          </o:OLEObject>
        </w:object>
      </w:r>
    </w:p>
    <w:p>
      <w:pPr>
        <w:pStyle w:val="92"/>
        <w:rPr>
          <w:lang w:eastAsia="zh-CN"/>
        </w:rPr>
      </w:pPr>
      <w:r>
        <w:t>Figure </w:t>
      </w:r>
      <w:r>
        <w:rPr>
          <w:rFonts w:hint="eastAsia" w:eastAsia="宋体"/>
          <w:lang w:val="en-US" w:eastAsia="zh-CN"/>
        </w:rPr>
        <w:t>2</w:t>
      </w:r>
      <w:r>
        <w:t>:</w:t>
      </w:r>
      <w:r>
        <w:rPr>
          <w:rFonts w:hint="eastAsia"/>
          <w:lang w:eastAsia="zh-CN"/>
        </w:rPr>
        <w:t xml:space="preserve"> </w:t>
      </w:r>
      <w:r>
        <w:rPr>
          <w:lang w:eastAsia="zh-CN"/>
        </w:rPr>
        <w:t xml:space="preserve">MSGin5G UE-2 using UE-1 as a </w:t>
      </w:r>
      <w:r>
        <w:rPr>
          <w:rFonts w:hint="eastAsia"/>
          <w:lang w:eastAsia="zh-CN"/>
        </w:rPr>
        <w:t>r</w:t>
      </w:r>
      <w:r>
        <w:rPr>
          <w:lang w:eastAsia="zh-CN"/>
        </w:rPr>
        <w:t>elay</w:t>
      </w:r>
    </w:p>
    <w:p>
      <w:pPr>
        <w:rPr>
          <w:lang w:eastAsia="zh-CN"/>
        </w:rPr>
      </w:pPr>
      <w:r>
        <w:t>Figure </w:t>
      </w:r>
      <w:r>
        <w:rPr>
          <w:rFonts w:hint="eastAsia" w:eastAsia="宋体"/>
          <w:lang w:val="en-US" w:eastAsia="zh-CN"/>
        </w:rPr>
        <w:t>3</w:t>
      </w:r>
      <w:r>
        <w:t xml:space="preserve"> shows the application architecture </w:t>
      </w:r>
      <w:r>
        <w:rPr>
          <w:rFonts w:hint="eastAsia"/>
        </w:rPr>
        <w:t>of</w:t>
      </w:r>
      <w:r>
        <w:t xml:space="preserve"> </w:t>
      </w:r>
      <w:r>
        <w:rPr>
          <w:rFonts w:hint="eastAsia"/>
          <w:lang w:eastAsia="zh-CN"/>
        </w:rPr>
        <w:t xml:space="preserve">MSGin5G UE-2 with </w:t>
      </w:r>
      <w:r>
        <w:t>MSGin5G Client</w:t>
      </w:r>
      <w:r>
        <w:rPr>
          <w:rFonts w:hint="eastAsia"/>
          <w:lang w:eastAsia="zh-CN"/>
        </w:rPr>
        <w:t xml:space="preserve"> interacts with an MSGin5G Gateway UE</w:t>
      </w:r>
      <w:r>
        <w:rPr>
          <w:lang w:eastAsia="ko-KR"/>
        </w:rPr>
        <w:t xml:space="preserve"> over the </w:t>
      </w:r>
      <w:r>
        <w:rPr>
          <w:rFonts w:hint="eastAsia"/>
          <w:lang w:eastAsia="zh-CN"/>
        </w:rPr>
        <w:t>MSGin5G-6</w:t>
      </w:r>
      <w:r>
        <w:rPr>
          <w:lang w:eastAsia="ko-KR"/>
        </w:rPr>
        <w:t xml:space="preserve"> reference point</w:t>
      </w:r>
      <w:r>
        <w:t>.</w:t>
      </w:r>
      <w:r>
        <w:rPr>
          <w:rFonts w:hint="eastAsia"/>
          <w:lang w:eastAsia="zh-CN"/>
        </w:rPr>
        <w:t xml:space="preserve"> </w:t>
      </w:r>
      <w:r>
        <w:rPr>
          <w:lang w:eastAsia="zh-CN"/>
        </w:rPr>
        <w:t>The SEAL Client(s) residing on the UE-2 communicates with the SEAL Client(s) residing on the UE-1 via SEAL-PC5 reference as specified in 3GPP TS 23.434 [</w:t>
      </w:r>
      <w:r>
        <w:rPr>
          <w:rFonts w:hint="eastAsia"/>
          <w:lang w:val="en-US" w:eastAsia="zh-CN"/>
        </w:rPr>
        <w:t>6</w:t>
      </w:r>
      <w:r>
        <w:rPr>
          <w:lang w:eastAsia="zh-CN"/>
        </w:rPr>
        <w:t>].</w:t>
      </w:r>
    </w:p>
    <w:p>
      <w:pPr>
        <w:pStyle w:val="66"/>
      </w:pPr>
      <w:r>
        <w:t>NOTE:</w:t>
      </w:r>
      <w:r>
        <w:tab/>
      </w:r>
      <w:r>
        <w:rPr>
          <w:rFonts w:hint="eastAsia"/>
          <w:lang w:eastAsia="zh-CN"/>
        </w:rPr>
        <w:t xml:space="preserve">Both </w:t>
      </w:r>
      <w:r>
        <w:rPr>
          <w:rFonts w:hint="eastAsia"/>
        </w:rPr>
        <w:t>MSGin5G Client</w:t>
      </w:r>
      <w:r>
        <w:rPr>
          <w:rFonts w:hint="eastAsia"/>
          <w:lang w:eastAsia="zh-CN"/>
        </w:rPr>
        <w:t xml:space="preserve"> functionality</w:t>
      </w:r>
      <w:r>
        <w:rPr>
          <w:rFonts w:hint="eastAsia"/>
        </w:rPr>
        <w:t xml:space="preserve"> </w:t>
      </w:r>
      <w:r>
        <w:rPr>
          <w:rFonts w:hint="eastAsia"/>
          <w:lang w:eastAsia="zh-CN"/>
        </w:rPr>
        <w:t xml:space="preserve">and </w:t>
      </w:r>
      <w:r>
        <w:rPr>
          <w:rFonts w:hint="eastAsia"/>
        </w:rPr>
        <w:t xml:space="preserve">MSGin5G Gateway service functionality </w:t>
      </w:r>
      <w:r>
        <w:rPr>
          <w:rFonts w:hint="eastAsia"/>
          <w:lang w:eastAsia="zh-CN"/>
        </w:rPr>
        <w:t xml:space="preserve">are internal functionalities of MSGin5G Gateway Client. </w:t>
      </w:r>
      <w:r>
        <w:rPr>
          <w:rFonts w:hint="eastAsia"/>
        </w:rPr>
        <w:t>The interaction between MSGin5G Client</w:t>
      </w:r>
      <w:r>
        <w:rPr>
          <w:rFonts w:hint="eastAsia"/>
          <w:lang w:eastAsia="zh-CN"/>
        </w:rPr>
        <w:t xml:space="preserve"> functionality</w:t>
      </w:r>
      <w:r>
        <w:rPr>
          <w:rFonts w:hint="eastAsia"/>
        </w:rPr>
        <w:t xml:space="preserve"> in the MSGin5G Gateway Client and the MSGin5G Gateway service functionality is implementation specific.</w:t>
      </w:r>
    </w:p>
    <w:p>
      <w:pPr>
        <w:pStyle w:val="84"/>
        <w:rPr>
          <w:lang w:eastAsia="zh-CN"/>
        </w:rPr>
      </w:pPr>
      <w:r>
        <w:object>
          <v:shape id="_x0000_i1027" o:spt="75" type="#_x0000_t75" style="height:199.35pt;width:347.95pt;" o:ole="t" filled="f" o:preferrelative="t" stroked="f" coordsize="21600,21600">
            <v:path/>
            <v:fill on="f" focussize="0,0"/>
            <v:stroke on="f" joinstyle="miter"/>
            <v:imagedata r:id="rId12" o:title=""/>
            <o:lock v:ext="edit" aspectratio="f"/>
            <w10:wrap type="none"/>
            <w10:anchorlock/>
          </v:shape>
          <o:OLEObject Type="Embed" ProgID="Visio.Drawing.11" ShapeID="_x0000_i1027" DrawAspect="Content" ObjectID="_1468075727" r:id="rId11">
            <o:LockedField>false</o:LockedField>
          </o:OLEObject>
        </w:object>
      </w:r>
    </w:p>
    <w:p>
      <w:pPr>
        <w:pStyle w:val="92"/>
        <w:rPr>
          <w:lang w:eastAsia="zh-CN"/>
        </w:rPr>
      </w:pPr>
      <w:r>
        <w:t>Figure </w:t>
      </w:r>
      <w:r>
        <w:rPr>
          <w:rFonts w:hint="eastAsia" w:eastAsia="宋体"/>
          <w:lang w:val="en-US" w:eastAsia="zh-CN"/>
        </w:rPr>
        <w:t>3</w:t>
      </w:r>
      <w:r>
        <w:t>:</w:t>
      </w:r>
      <w:r>
        <w:rPr>
          <w:rFonts w:hint="eastAsia"/>
          <w:lang w:eastAsia="zh-CN"/>
        </w:rPr>
        <w:t xml:space="preserve"> MSGin5G UE-2 with </w:t>
      </w:r>
      <w:r>
        <w:t>MSGin5G Client</w:t>
      </w:r>
      <w:r>
        <w:rPr>
          <w:rFonts w:hint="eastAsia"/>
          <w:lang w:eastAsia="zh-CN"/>
        </w:rPr>
        <w:t xml:space="preserve"> interacts with an MSGin5G Gateway UE</w:t>
      </w:r>
    </w:p>
    <w:p>
      <w:r>
        <w:t>Figure </w:t>
      </w:r>
      <w:r>
        <w:rPr>
          <w:rFonts w:hint="eastAsia"/>
          <w:lang w:val="en-US" w:eastAsia="zh-CN"/>
        </w:rPr>
        <w:t>4</w:t>
      </w:r>
      <w:r>
        <w:t xml:space="preserve"> illustrates the functional model for interconnection between </w:t>
      </w:r>
      <w:r>
        <w:rPr>
          <w:rFonts w:hint="eastAsia"/>
          <w:lang w:eastAsia="zh-CN"/>
        </w:rPr>
        <w:t>MSGin5G</w:t>
      </w:r>
      <w:r>
        <w:t xml:space="preserve"> servers.</w:t>
      </w:r>
    </w:p>
    <w:p>
      <w:pPr>
        <w:pStyle w:val="84"/>
      </w:pPr>
      <w:r>
        <w:object>
          <v:shape id="_x0000_i1028" o:spt="75" type="#_x0000_t75" style="height:81.15pt;width:357.5pt;" o:ole="t" filled="f" o:preferrelative="t" stroked="f" coordsize="21600,21600">
            <v:path/>
            <v:fill on="f" focussize="0,0"/>
            <v:stroke on="f" joinstyle="miter"/>
            <v:imagedata r:id="rId14" o:title=""/>
            <o:lock v:ext="edit" aspectratio="t"/>
            <w10:wrap type="none"/>
            <w10:anchorlock/>
          </v:shape>
          <o:OLEObject Type="Embed" ProgID="Visio.Drawing.11" ShapeID="_x0000_i1028" DrawAspect="Content" ObjectID="_1468075728" r:id="rId13">
            <o:LockedField>false</o:LockedField>
          </o:OLEObject>
        </w:object>
      </w:r>
    </w:p>
    <w:p>
      <w:pPr>
        <w:pStyle w:val="92"/>
      </w:pPr>
      <w:r>
        <w:t>Figure </w:t>
      </w:r>
      <w:r>
        <w:rPr>
          <w:rFonts w:hint="eastAsia"/>
          <w:lang w:val="en-US" w:eastAsia="zh-CN"/>
        </w:rPr>
        <w:t>4</w:t>
      </w:r>
      <w:r>
        <w:t xml:space="preserve">: Interconnection between </w:t>
      </w:r>
      <w:r>
        <w:rPr>
          <w:rFonts w:hint="eastAsia"/>
          <w:lang w:eastAsia="zh-CN"/>
        </w:rPr>
        <w:t>MSGin5G</w:t>
      </w:r>
      <w:r>
        <w:t xml:space="preserve"> </w:t>
      </w:r>
      <w:r>
        <w:rPr>
          <w:rFonts w:hint="eastAsia"/>
          <w:lang w:eastAsia="zh-CN"/>
        </w:rPr>
        <w:t>S</w:t>
      </w:r>
      <w:r>
        <w:t>ervers</w:t>
      </w:r>
    </w:p>
    <w:p>
      <w:pPr>
        <w:rPr>
          <w:rFonts w:hint="eastAsia" w:eastAsia="宋体"/>
          <w:lang w:val="en-US" w:eastAsia="zh-CN"/>
        </w:rPr>
      </w:pPr>
      <w:r>
        <w:rPr>
          <w:rFonts w:hint="eastAsia" w:eastAsia="宋体"/>
          <w:lang w:val="en-US" w:eastAsia="zh-CN"/>
        </w:rPr>
        <w:t xml:space="preserve">In addition to the architecture and features </w:t>
      </w:r>
      <w:r>
        <w:rPr>
          <w:lang w:eastAsia="en-GB"/>
        </w:rPr>
        <w:t>specified in Rel</w:t>
      </w:r>
      <w:r>
        <w:rPr>
          <w:rFonts w:hint="eastAsia" w:eastAsia="宋体"/>
          <w:lang w:val="en-US" w:eastAsia="zh-CN"/>
        </w:rPr>
        <w:t>-</w:t>
      </w:r>
      <w:r>
        <w:rPr>
          <w:lang w:eastAsia="en-GB"/>
        </w:rPr>
        <w:t>1</w:t>
      </w:r>
      <w:r>
        <w:rPr>
          <w:rFonts w:hint="eastAsia" w:eastAsia="宋体"/>
          <w:lang w:eastAsia="zh-CN"/>
        </w:rPr>
        <w:t>7</w:t>
      </w:r>
      <w:r>
        <w:rPr>
          <w:rFonts w:hint="eastAsia" w:eastAsia="宋体"/>
          <w:lang w:val="en-US" w:eastAsia="zh-CN"/>
        </w:rPr>
        <w:t>, the following aspects are enhanced in Rel-18:</w:t>
      </w:r>
    </w:p>
    <w:p>
      <w:pPr>
        <w:pStyle w:val="81"/>
        <w:rPr>
          <w:rFonts w:hint="eastAsia"/>
          <w:lang w:eastAsia="zh-CN"/>
        </w:rPr>
      </w:pPr>
      <w:r>
        <w:rPr>
          <w:rFonts w:hint="eastAsia"/>
          <w:lang w:eastAsia="zh-CN"/>
        </w:rPr>
        <w:t>a)</w:t>
      </w:r>
      <w:r>
        <w:rPr>
          <w:rFonts w:hint="eastAsia"/>
          <w:lang w:eastAsia="zh-CN"/>
        </w:rPr>
        <w:tab/>
      </w:r>
      <w:r>
        <w:rPr>
          <w:rFonts w:hint="eastAsia"/>
          <w:lang w:eastAsia="zh-CN"/>
        </w:rPr>
        <w:t xml:space="preserve">the procedures in multiple MSGin5G Server scenario, i.e. the sender and receiver of message are served by different MSGin5G Servers. The sender and the receiver can be in the same PLMN or different PLMNs. </w:t>
      </w:r>
      <w:r>
        <w:rPr>
          <w:rFonts w:hint="eastAsia"/>
          <w:lang w:val="en-US" w:eastAsia="zh-CN"/>
        </w:rPr>
        <w:t xml:space="preserve">The procedures include </w:t>
      </w:r>
      <w:r>
        <w:rPr>
          <w:rFonts w:hint="eastAsia"/>
          <w:lang w:eastAsia="zh-CN"/>
        </w:rPr>
        <w:t>the message delivery</w:t>
      </w:r>
      <w:r>
        <w:t xml:space="preserve"> based on </w:t>
      </w:r>
      <w:r>
        <w:rPr>
          <w:rFonts w:hint="eastAsia"/>
          <w:lang w:eastAsia="zh-CN"/>
        </w:rPr>
        <w:t xml:space="preserve">Messaging </w:t>
      </w:r>
      <w:r>
        <w:rPr>
          <w:lang w:eastAsia="zh-CN"/>
        </w:rPr>
        <w:t>T</w:t>
      </w:r>
      <w:r>
        <w:rPr>
          <w:rFonts w:hint="eastAsia"/>
          <w:lang w:eastAsia="zh-CN"/>
        </w:rPr>
        <w:t>opic works in this scenario;</w:t>
      </w:r>
    </w:p>
    <w:p>
      <w:pPr>
        <w:pStyle w:val="81"/>
        <w:rPr>
          <w:rFonts w:hint="eastAsia"/>
          <w:lang w:eastAsia="zh-CN"/>
        </w:rPr>
      </w:pPr>
      <w:r>
        <w:rPr>
          <w:rFonts w:hint="eastAsia"/>
          <w:lang w:eastAsia="zh-CN"/>
        </w:rPr>
        <w:t>b)</w:t>
      </w:r>
      <w:r>
        <w:rPr>
          <w:rFonts w:hint="eastAsia"/>
          <w:lang w:eastAsia="zh-CN"/>
        </w:rPr>
        <w:tab/>
      </w:r>
      <w:r>
        <w:rPr>
          <w:rFonts w:hint="eastAsia"/>
          <w:lang w:eastAsia="zh-CN"/>
        </w:rPr>
        <w:t>bulk configuration and bulk registration for UEs, e.g. Non-MSGin5G UEs or constrained devices, and Application Servers;</w:t>
      </w:r>
    </w:p>
    <w:p>
      <w:pPr>
        <w:pStyle w:val="81"/>
        <w:rPr>
          <w:rFonts w:hint="eastAsia"/>
          <w:lang w:eastAsia="zh-CN"/>
        </w:rPr>
      </w:pPr>
      <w:r>
        <w:rPr>
          <w:rFonts w:hint="eastAsia"/>
          <w:lang w:eastAsia="zh-CN"/>
        </w:rPr>
        <w:t>c</w:t>
      </w:r>
      <w:r>
        <w:rPr>
          <w:lang w:eastAsia="zh-CN"/>
        </w:rPr>
        <w:t>)</w:t>
      </w:r>
      <w:r>
        <w:rPr>
          <w:rFonts w:hint="eastAsia"/>
          <w:lang w:eastAsia="zh-CN"/>
        </w:rPr>
        <w:tab/>
      </w:r>
      <w:r>
        <w:rPr>
          <w:rFonts w:hint="eastAsia"/>
          <w:lang w:eastAsia="zh-CN"/>
        </w:rPr>
        <w:t xml:space="preserve">the procedures and architectural enhancement to support Broadcast massaging </w:t>
      </w:r>
      <w:r>
        <w:rPr>
          <w:rFonts w:hint="eastAsia"/>
          <w:lang w:val="en-US" w:eastAsia="zh-CN"/>
        </w:rPr>
        <w:t>by introducing Broadcast Message Gateway</w:t>
      </w:r>
      <w:r>
        <w:rPr>
          <w:rFonts w:hint="eastAsia"/>
          <w:lang w:eastAsia="zh-CN"/>
        </w:rPr>
        <w:t>;</w:t>
      </w:r>
    </w:p>
    <w:p>
      <w:pPr>
        <w:pStyle w:val="81"/>
        <w:rPr>
          <w:rFonts w:hint="default"/>
          <w:lang w:val="en-US" w:eastAsia="zh-CN"/>
        </w:rPr>
      </w:pPr>
      <w:r>
        <w:rPr>
          <w:rFonts w:hint="eastAsia"/>
          <w:lang w:eastAsia="zh-CN"/>
        </w:rPr>
        <w:t>d)</w:t>
      </w:r>
      <w:r>
        <w:rPr>
          <w:rFonts w:hint="eastAsia"/>
          <w:lang w:eastAsia="zh-CN"/>
        </w:rPr>
        <w:tab/>
      </w:r>
      <w:r>
        <w:rPr>
          <w:rFonts w:hint="eastAsia"/>
          <w:lang w:eastAsia="zh-CN"/>
        </w:rPr>
        <w:t xml:space="preserve">the procedures, e.g. configuration, registration, for </w:t>
      </w:r>
      <w:r>
        <w:rPr>
          <w:rFonts w:hint="eastAsia"/>
          <w:lang w:val="en-US" w:eastAsia="zh-CN"/>
        </w:rPr>
        <w:t xml:space="preserve">MSGin5G Client in </w:t>
      </w:r>
      <w:r>
        <w:rPr>
          <w:rFonts w:hint="eastAsia"/>
          <w:lang w:eastAsia="zh-CN"/>
        </w:rPr>
        <w:t xml:space="preserve">constrained device and </w:t>
      </w:r>
      <w:r>
        <w:rPr>
          <w:rFonts w:hint="eastAsia"/>
          <w:lang w:val="en-US" w:eastAsia="zh-CN"/>
        </w:rPr>
        <w:t>Gateway</w:t>
      </w:r>
      <w:r>
        <w:rPr>
          <w:rFonts w:hint="eastAsia"/>
          <w:lang w:eastAsia="zh-CN"/>
        </w:rPr>
        <w:t xml:space="preserve"> UE by using MSGin5G-6 reference point;</w:t>
      </w:r>
      <w:r>
        <w:rPr>
          <w:rFonts w:hint="eastAsia"/>
          <w:lang w:val="en-US" w:eastAsia="zh-CN"/>
        </w:rPr>
        <w:t xml:space="preserve"> and</w:t>
      </w:r>
    </w:p>
    <w:p>
      <w:pPr>
        <w:pStyle w:val="81"/>
        <w:rPr>
          <w:rFonts w:hint="eastAsia"/>
          <w:lang w:eastAsia="zh-CN"/>
        </w:rPr>
      </w:pPr>
      <w:r>
        <w:rPr>
          <w:rFonts w:hint="eastAsia"/>
          <w:lang w:val="en-US" w:eastAsia="zh-CN"/>
        </w:rPr>
        <w:t>e</w:t>
      </w:r>
      <w:r>
        <w:rPr>
          <w:rFonts w:hint="eastAsia"/>
          <w:lang w:eastAsia="zh-CN"/>
        </w:rPr>
        <w:t>)</w:t>
      </w:r>
      <w:r>
        <w:rPr>
          <w:rFonts w:hint="eastAsia"/>
          <w:lang w:eastAsia="zh-CN"/>
        </w:rPr>
        <w:tab/>
      </w:r>
      <w:r>
        <w:rPr>
          <w:rFonts w:hint="eastAsia"/>
          <w:lang w:eastAsia="zh-CN"/>
        </w:rPr>
        <w:t xml:space="preserve">the service logic between some features, e.g. </w:t>
      </w:r>
    </w:p>
    <w:p>
      <w:pPr>
        <w:pStyle w:val="95"/>
        <w:rPr>
          <w:rFonts w:hint="default"/>
          <w:lang w:val="en-US" w:eastAsia="zh-CN"/>
        </w:rPr>
      </w:pPr>
      <w:r>
        <w:rPr>
          <w:rFonts w:hint="eastAsia"/>
          <w:lang w:eastAsia="zh-CN"/>
        </w:rPr>
        <w:t>1)</w:t>
      </w:r>
      <w:r>
        <w:rPr>
          <w:rFonts w:hint="eastAsia"/>
          <w:lang w:eastAsia="zh-CN"/>
        </w:rPr>
        <w:tab/>
      </w:r>
      <w:r>
        <w:rPr>
          <w:rFonts w:hint="eastAsia"/>
          <w:lang w:eastAsia="zh-CN"/>
        </w:rPr>
        <w:t xml:space="preserve">service logic between message aggregation and segment. If an aggregated message is sent to a recipient whose supported message segment size is smaller than the aggregated message, will the message be split or segmented; </w:t>
      </w:r>
      <w:r>
        <w:rPr>
          <w:rFonts w:hint="eastAsia"/>
          <w:lang w:val="en-US" w:eastAsia="zh-CN"/>
        </w:rPr>
        <w:t>and</w:t>
      </w:r>
    </w:p>
    <w:p>
      <w:pPr>
        <w:pStyle w:val="95"/>
        <w:rPr>
          <w:rFonts w:hint="default"/>
          <w:bCs/>
          <w:lang w:val="en-US"/>
        </w:rPr>
      </w:pPr>
      <w:r>
        <w:rPr>
          <w:rFonts w:hint="eastAsia"/>
          <w:lang w:eastAsia="zh-CN"/>
        </w:rPr>
        <w:t>2)</w:t>
      </w:r>
      <w:r>
        <w:rPr>
          <w:rFonts w:hint="eastAsia"/>
          <w:lang w:eastAsia="zh-CN"/>
        </w:rPr>
        <w:tab/>
      </w:r>
      <w:r>
        <w:rPr>
          <w:rFonts w:hint="eastAsia"/>
          <w:lang w:eastAsia="zh-CN"/>
        </w:rPr>
        <w:t>service logic between store forward and device triggering. If store and forward is allowed by an MSGin5G message and device triggering is supported by the recipient, how the MSGin5G Server works; etc</w:t>
      </w:r>
      <w:r>
        <w:rPr>
          <w:rFonts w:hint="eastAsia"/>
          <w:lang w:val="en-US" w:eastAsia="zh-CN"/>
        </w:rPr>
        <w:t>.</w:t>
      </w:r>
    </w:p>
    <w:p>
      <w:pPr>
        <w:rPr>
          <w:b/>
        </w:rPr>
      </w:pPr>
      <w:r>
        <w:rPr>
          <w:b/>
        </w:rPr>
        <w:t>References</w:t>
      </w:r>
    </w:p>
    <w:p>
      <w:pPr>
        <w:pStyle w:val="77"/>
      </w:pPr>
      <w:r>
        <w:t>[1]</w:t>
      </w:r>
      <w:r>
        <w:tab/>
      </w:r>
      <w:r>
        <w:t>T</w:t>
      </w:r>
      <w:r>
        <w:rPr>
          <w:rFonts w:hint="eastAsia"/>
        </w:rPr>
        <w:t>S</w:t>
      </w:r>
      <w:r>
        <w:t> 2</w:t>
      </w:r>
      <w:r>
        <w:rPr>
          <w:rFonts w:hint="eastAsia"/>
        </w:rPr>
        <w:t>3</w:t>
      </w:r>
      <w:r>
        <w:t>.</w:t>
      </w:r>
      <w:r>
        <w:rPr>
          <w:rFonts w:hint="eastAsia"/>
        </w:rPr>
        <w:t>554</w:t>
      </w:r>
      <w:r>
        <w:t>: "Application architecture for MSGin5G Service; Stage 2;".</w:t>
      </w:r>
    </w:p>
    <w:p>
      <w:pPr>
        <w:pStyle w:val="77"/>
        <w:rPr>
          <w:rFonts w:hint="eastAsia"/>
          <w:lang w:eastAsia="zh-CN"/>
        </w:rPr>
      </w:pPr>
      <w:r>
        <w:t>[2]</w:t>
      </w:r>
      <w:r>
        <w:tab/>
      </w:r>
      <w:r>
        <w:t>TS 22.2</w:t>
      </w:r>
      <w:r>
        <w:rPr>
          <w:rFonts w:hint="eastAsia"/>
        </w:rPr>
        <w:t>62</w:t>
      </w:r>
      <w:r>
        <w:t>: "Message Service within the 5G System".</w:t>
      </w:r>
    </w:p>
    <w:p>
      <w:pPr>
        <w:pStyle w:val="77"/>
        <w:rPr>
          <w:rFonts w:hint="eastAsia"/>
          <w:lang w:eastAsia="zh-CN"/>
        </w:rPr>
      </w:pPr>
      <w:r>
        <w:t>[</w:t>
      </w:r>
      <w:r>
        <w:rPr>
          <w:rFonts w:hint="eastAsia"/>
          <w:lang w:eastAsia="zh-CN"/>
        </w:rPr>
        <w:t>3</w:t>
      </w:r>
      <w:r>
        <w:t>]</w:t>
      </w:r>
      <w:r>
        <w:tab/>
      </w:r>
      <w:r>
        <w:t>TS 33.501: "Security architecture and procedures for 5G System".</w:t>
      </w:r>
    </w:p>
    <w:p>
      <w:pPr>
        <w:pStyle w:val="77"/>
        <w:rPr>
          <w:rFonts w:hint="eastAsia"/>
        </w:rPr>
      </w:pPr>
      <w:r>
        <w:t>[</w:t>
      </w:r>
      <w:r>
        <w:rPr>
          <w:rFonts w:hint="eastAsia"/>
          <w:lang w:eastAsia="zh-CN"/>
        </w:rPr>
        <w:t>4</w:t>
      </w:r>
      <w:r>
        <w:t>]</w:t>
      </w:r>
      <w:r>
        <w:tab/>
      </w:r>
      <w:r>
        <w:t>TS </w:t>
      </w:r>
      <w:r>
        <w:rPr>
          <w:rFonts w:hint="eastAsia"/>
          <w:lang w:eastAsia="zh-CN"/>
        </w:rPr>
        <w:t>24</w:t>
      </w:r>
      <w:r>
        <w:t>.5</w:t>
      </w:r>
      <w:r>
        <w:rPr>
          <w:rFonts w:hint="eastAsia"/>
          <w:lang w:eastAsia="zh-CN"/>
        </w:rPr>
        <w:t>38</w:t>
      </w:r>
      <w:r>
        <w:t>: " Enabling MSGin5G Service;Protocol specification;".</w:t>
      </w:r>
    </w:p>
    <w:p>
      <w:pPr>
        <w:pStyle w:val="77"/>
        <w:rPr>
          <w:rFonts w:hint="eastAsia"/>
          <w:lang w:eastAsia="zh-CN"/>
        </w:rPr>
      </w:pPr>
      <w:r>
        <w:t>[</w:t>
      </w:r>
      <w:r>
        <w:rPr>
          <w:rFonts w:hint="eastAsia"/>
          <w:lang w:eastAsia="zh-CN"/>
        </w:rPr>
        <w:t>5</w:t>
      </w:r>
      <w:r>
        <w:t>]</w:t>
      </w:r>
      <w:r>
        <w:tab/>
      </w:r>
      <w:r>
        <w:t>TS </w:t>
      </w:r>
      <w:r>
        <w:rPr>
          <w:rFonts w:hint="eastAsia"/>
          <w:lang w:eastAsia="zh-CN"/>
        </w:rPr>
        <w:t>29</w:t>
      </w:r>
      <w:r>
        <w:t>.5</w:t>
      </w:r>
      <w:r>
        <w:rPr>
          <w:rFonts w:hint="eastAsia"/>
          <w:lang w:eastAsia="zh-CN"/>
        </w:rPr>
        <w:t>38</w:t>
      </w:r>
      <w:r>
        <w:t>: " Enabling MSGin5G Service;Application Programming Interfaces (API) specification;".</w:t>
      </w:r>
    </w:p>
    <w:p>
      <w:pPr>
        <w:pStyle w:val="77"/>
        <w:rPr>
          <w:rFonts w:hint="eastAsia"/>
          <w:lang w:eastAsia="zh-CN"/>
        </w:rPr>
      </w:pPr>
      <w:r>
        <w:t>[</w:t>
      </w:r>
      <w:r>
        <w:rPr>
          <w:rFonts w:hint="eastAsia"/>
          <w:lang w:eastAsia="zh-CN"/>
        </w:rPr>
        <w:t>6</w:t>
      </w:r>
      <w:r>
        <w:t>]</w:t>
      </w:r>
      <w:r>
        <w:tab/>
      </w:r>
      <w:r>
        <w:t>TS 23.434: "Service Enabler Architecture Layer for Verticals".</w:t>
      </w:r>
    </w:p>
    <w:bookmarkEnd w:id="0"/>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游明朝">
    <w:altName w:val="Segoe Print"/>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uto" w:vAnchor="text" w:hAnchor="margin" w:xAlign="right" w:y="1"/>
      <w:widowControl/>
    </w:pPr>
    <w:r>
      <w:fldChar w:fldCharType="begin"/>
    </w:r>
    <w:r>
      <w:instrText xml:space="preserve"> STYLEREF ZA </w:instrText>
    </w:r>
    <w:r>
      <w:fldChar w:fldCharType="separate"/>
    </w:r>
    <w:r>
      <w:rPr>
        <w:b/>
      </w:rPr>
      <w:t>错误！文档中没有指定样式的文字。</w:t>
    </w:r>
    <w:r>
      <w:fldChar w:fldCharType="end"/>
    </w:r>
  </w:p>
  <w:p>
    <w:pPr>
      <w:pStyle w:val="39"/>
      <w:framePr w:wrap="auto" w:vAnchor="text" w:hAnchor="margin" w:xAlign="center" w:y="1"/>
      <w:widowControl/>
    </w:pPr>
    <w:r>
      <w:fldChar w:fldCharType="begin"/>
    </w:r>
    <w:r>
      <w:instrText xml:space="preserve"> PAGE </w:instrText>
    </w:r>
    <w:r>
      <w:fldChar w:fldCharType="separate"/>
    </w:r>
    <w:r>
      <w:t>108</w:t>
    </w:r>
    <w:r>
      <w:fldChar w:fldCharType="end"/>
    </w:r>
  </w:p>
  <w:p>
    <w:pPr>
      <w:pStyle w:val="39"/>
      <w:framePr w:wrap="auto" w:vAnchor="text" w:hAnchor="margin" w:y="1"/>
      <w:widowControl/>
    </w:pPr>
    <w:r>
      <w:fldChar w:fldCharType="begin"/>
    </w:r>
    <w:r>
      <w:instrText xml:space="preserve"> STYLEREF ZGSM </w:instrText>
    </w:r>
    <w:r>
      <w:fldChar w:fldCharType="separate"/>
    </w:r>
    <w:r>
      <w:rPr>
        <w:b/>
      </w:rPr>
      <w:t>错误！文档中没有指定样式的文字。</w:t>
    </w:r>
    <w:r>
      <w:fldChar w:fldCharType="end"/>
    </w:r>
  </w:p>
  <w:p>
    <w:pPr>
      <w:pStyle w:val="3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1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3AA46647"/>
    <w:multiLevelType w:val="multilevel"/>
    <w:tmpl w:val="3AA46647"/>
    <w:lvl w:ilvl="0" w:tentative="0">
      <w:start w:val="1"/>
      <w:numFmt w:val="decimal"/>
      <w:pStyle w:val="13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534B328A"/>
    <w:multiLevelType w:val="multilevel"/>
    <w:tmpl w:val="534B328A"/>
    <w:lvl w:ilvl="0" w:tentative="0">
      <w:start w:val="1"/>
      <w:numFmt w:val="decimal"/>
      <w:pStyle w:val="138"/>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100"/>
  <w:displayHorizontalDrawingGridEvery w:val="0"/>
  <w:displayVerticalDrawingGridEvery w:val="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51E"/>
    <w:rsid w:val="00007D9C"/>
    <w:rsid w:val="00011A71"/>
    <w:rsid w:val="00015771"/>
    <w:rsid w:val="00016820"/>
    <w:rsid w:val="00020811"/>
    <w:rsid w:val="00021625"/>
    <w:rsid w:val="0002191D"/>
    <w:rsid w:val="000266A0"/>
    <w:rsid w:val="000301E5"/>
    <w:rsid w:val="000302E8"/>
    <w:rsid w:val="00030A09"/>
    <w:rsid w:val="00031C1D"/>
    <w:rsid w:val="00033319"/>
    <w:rsid w:val="00034856"/>
    <w:rsid w:val="00034B41"/>
    <w:rsid w:val="00035326"/>
    <w:rsid w:val="00035800"/>
    <w:rsid w:val="00040DBB"/>
    <w:rsid w:val="00042DFF"/>
    <w:rsid w:val="00046A05"/>
    <w:rsid w:val="00050DFA"/>
    <w:rsid w:val="00050F14"/>
    <w:rsid w:val="00051DA6"/>
    <w:rsid w:val="00054B95"/>
    <w:rsid w:val="000557C9"/>
    <w:rsid w:val="0005583C"/>
    <w:rsid w:val="000560AB"/>
    <w:rsid w:val="00057816"/>
    <w:rsid w:val="000641D4"/>
    <w:rsid w:val="00064BA9"/>
    <w:rsid w:val="000654C1"/>
    <w:rsid w:val="00065559"/>
    <w:rsid w:val="000655F9"/>
    <w:rsid w:val="00065C20"/>
    <w:rsid w:val="0006779E"/>
    <w:rsid w:val="00072524"/>
    <w:rsid w:val="00076E65"/>
    <w:rsid w:val="00080304"/>
    <w:rsid w:val="00080DF7"/>
    <w:rsid w:val="00081A6D"/>
    <w:rsid w:val="00081F5F"/>
    <w:rsid w:val="000831C9"/>
    <w:rsid w:val="00083351"/>
    <w:rsid w:val="00085A52"/>
    <w:rsid w:val="00086C7B"/>
    <w:rsid w:val="00086E11"/>
    <w:rsid w:val="0009140B"/>
    <w:rsid w:val="000935F0"/>
    <w:rsid w:val="00093E7E"/>
    <w:rsid w:val="000953A1"/>
    <w:rsid w:val="00096034"/>
    <w:rsid w:val="000962F3"/>
    <w:rsid w:val="000969E3"/>
    <w:rsid w:val="00097AE3"/>
    <w:rsid w:val="000A0C87"/>
    <w:rsid w:val="000A0D91"/>
    <w:rsid w:val="000A1AB2"/>
    <w:rsid w:val="000A34FE"/>
    <w:rsid w:val="000A361E"/>
    <w:rsid w:val="000A632B"/>
    <w:rsid w:val="000B35B3"/>
    <w:rsid w:val="000B3A5A"/>
    <w:rsid w:val="000B53BB"/>
    <w:rsid w:val="000B55D3"/>
    <w:rsid w:val="000B6ADC"/>
    <w:rsid w:val="000C1959"/>
    <w:rsid w:val="000C4E3E"/>
    <w:rsid w:val="000C6037"/>
    <w:rsid w:val="000C618A"/>
    <w:rsid w:val="000C74EB"/>
    <w:rsid w:val="000D3E4C"/>
    <w:rsid w:val="000D4493"/>
    <w:rsid w:val="000D5C97"/>
    <w:rsid w:val="000D5DE3"/>
    <w:rsid w:val="000D6CFC"/>
    <w:rsid w:val="000D6DCC"/>
    <w:rsid w:val="000E08B7"/>
    <w:rsid w:val="000E3084"/>
    <w:rsid w:val="000E4B57"/>
    <w:rsid w:val="000E4C92"/>
    <w:rsid w:val="000E76F4"/>
    <w:rsid w:val="000E7835"/>
    <w:rsid w:val="000F5B68"/>
    <w:rsid w:val="000F692E"/>
    <w:rsid w:val="000F78A7"/>
    <w:rsid w:val="00102303"/>
    <w:rsid w:val="00102B9A"/>
    <w:rsid w:val="00104ACD"/>
    <w:rsid w:val="0010512E"/>
    <w:rsid w:val="001076C8"/>
    <w:rsid w:val="00107F26"/>
    <w:rsid w:val="00110055"/>
    <w:rsid w:val="0011124C"/>
    <w:rsid w:val="00116AC0"/>
    <w:rsid w:val="0012099F"/>
    <w:rsid w:val="00122A25"/>
    <w:rsid w:val="0012343D"/>
    <w:rsid w:val="00124984"/>
    <w:rsid w:val="00125036"/>
    <w:rsid w:val="00126CF4"/>
    <w:rsid w:val="001315D5"/>
    <w:rsid w:val="001334DF"/>
    <w:rsid w:val="00143845"/>
    <w:rsid w:val="00145DE6"/>
    <w:rsid w:val="00146B4B"/>
    <w:rsid w:val="00146C66"/>
    <w:rsid w:val="001513B6"/>
    <w:rsid w:val="001525C1"/>
    <w:rsid w:val="00153528"/>
    <w:rsid w:val="00153EA3"/>
    <w:rsid w:val="0015614C"/>
    <w:rsid w:val="001575C6"/>
    <w:rsid w:val="0015797D"/>
    <w:rsid w:val="00161D05"/>
    <w:rsid w:val="00166230"/>
    <w:rsid w:val="00166897"/>
    <w:rsid w:val="001670C6"/>
    <w:rsid w:val="0016713D"/>
    <w:rsid w:val="00171192"/>
    <w:rsid w:val="001712B5"/>
    <w:rsid w:val="00174A9F"/>
    <w:rsid w:val="00174B9C"/>
    <w:rsid w:val="00176CBE"/>
    <w:rsid w:val="00183ABA"/>
    <w:rsid w:val="0019225B"/>
    <w:rsid w:val="001A08AA"/>
    <w:rsid w:val="001A1B6C"/>
    <w:rsid w:val="001A3120"/>
    <w:rsid w:val="001A31CA"/>
    <w:rsid w:val="001B1EFF"/>
    <w:rsid w:val="001B50C2"/>
    <w:rsid w:val="001B6ADC"/>
    <w:rsid w:val="001B6C8A"/>
    <w:rsid w:val="001C1A91"/>
    <w:rsid w:val="001C3622"/>
    <w:rsid w:val="001C3A35"/>
    <w:rsid w:val="001D0738"/>
    <w:rsid w:val="001D15D8"/>
    <w:rsid w:val="001D235B"/>
    <w:rsid w:val="001D3F30"/>
    <w:rsid w:val="001D6013"/>
    <w:rsid w:val="001D7C48"/>
    <w:rsid w:val="001E07E7"/>
    <w:rsid w:val="001E3787"/>
    <w:rsid w:val="001E585E"/>
    <w:rsid w:val="001E63CD"/>
    <w:rsid w:val="001F331F"/>
    <w:rsid w:val="001F744B"/>
    <w:rsid w:val="00201F59"/>
    <w:rsid w:val="0020248B"/>
    <w:rsid w:val="00206109"/>
    <w:rsid w:val="00211498"/>
    <w:rsid w:val="00212373"/>
    <w:rsid w:val="002138EA"/>
    <w:rsid w:val="00214B0C"/>
    <w:rsid w:val="00214FBD"/>
    <w:rsid w:val="002154B6"/>
    <w:rsid w:val="00215A42"/>
    <w:rsid w:val="00215A65"/>
    <w:rsid w:val="00216C30"/>
    <w:rsid w:val="0021788C"/>
    <w:rsid w:val="00222897"/>
    <w:rsid w:val="002323A9"/>
    <w:rsid w:val="00232E2A"/>
    <w:rsid w:val="00233A98"/>
    <w:rsid w:val="00235394"/>
    <w:rsid w:val="002354D1"/>
    <w:rsid w:val="00237105"/>
    <w:rsid w:val="00240056"/>
    <w:rsid w:val="00240627"/>
    <w:rsid w:val="002450E1"/>
    <w:rsid w:val="00245AD2"/>
    <w:rsid w:val="00247E66"/>
    <w:rsid w:val="00251332"/>
    <w:rsid w:val="00253F51"/>
    <w:rsid w:val="002548FE"/>
    <w:rsid w:val="00254C4D"/>
    <w:rsid w:val="00255421"/>
    <w:rsid w:val="002556D6"/>
    <w:rsid w:val="002576C3"/>
    <w:rsid w:val="002577C6"/>
    <w:rsid w:val="002579A9"/>
    <w:rsid w:val="00261032"/>
    <w:rsid w:val="0026179F"/>
    <w:rsid w:val="00262F5D"/>
    <w:rsid w:val="002635E0"/>
    <w:rsid w:val="002646C2"/>
    <w:rsid w:val="00267B09"/>
    <w:rsid w:val="002703C1"/>
    <w:rsid w:val="0027046F"/>
    <w:rsid w:val="0027217E"/>
    <w:rsid w:val="002737D9"/>
    <w:rsid w:val="00274E1A"/>
    <w:rsid w:val="00276C4C"/>
    <w:rsid w:val="00277D4A"/>
    <w:rsid w:val="002812A5"/>
    <w:rsid w:val="00281CBF"/>
    <w:rsid w:val="00282213"/>
    <w:rsid w:val="00282CF6"/>
    <w:rsid w:val="00291A7D"/>
    <w:rsid w:val="002943CA"/>
    <w:rsid w:val="00296196"/>
    <w:rsid w:val="002A08AD"/>
    <w:rsid w:val="002A1E0B"/>
    <w:rsid w:val="002A33FB"/>
    <w:rsid w:val="002A456D"/>
    <w:rsid w:val="002A7026"/>
    <w:rsid w:val="002A7116"/>
    <w:rsid w:val="002B4CDB"/>
    <w:rsid w:val="002B4DB3"/>
    <w:rsid w:val="002B55AF"/>
    <w:rsid w:val="002B6196"/>
    <w:rsid w:val="002B7702"/>
    <w:rsid w:val="002B7C3B"/>
    <w:rsid w:val="002C0139"/>
    <w:rsid w:val="002C1EBB"/>
    <w:rsid w:val="002C246D"/>
    <w:rsid w:val="002C4E9F"/>
    <w:rsid w:val="002C6FB3"/>
    <w:rsid w:val="002D2889"/>
    <w:rsid w:val="002D2C88"/>
    <w:rsid w:val="002D4EF6"/>
    <w:rsid w:val="002D763E"/>
    <w:rsid w:val="002E17F8"/>
    <w:rsid w:val="002E23D8"/>
    <w:rsid w:val="002E3F06"/>
    <w:rsid w:val="002E4C6C"/>
    <w:rsid w:val="002E6A18"/>
    <w:rsid w:val="002E6F29"/>
    <w:rsid w:val="002F1177"/>
    <w:rsid w:val="002F2D87"/>
    <w:rsid w:val="002F394C"/>
    <w:rsid w:val="002F4093"/>
    <w:rsid w:val="002F4D9E"/>
    <w:rsid w:val="002F58FF"/>
    <w:rsid w:val="002F5B70"/>
    <w:rsid w:val="003057DA"/>
    <w:rsid w:val="00305B43"/>
    <w:rsid w:val="00306132"/>
    <w:rsid w:val="00306D8B"/>
    <w:rsid w:val="003073F1"/>
    <w:rsid w:val="00310A6A"/>
    <w:rsid w:val="00312376"/>
    <w:rsid w:val="003163F1"/>
    <w:rsid w:val="00327704"/>
    <w:rsid w:val="00331A60"/>
    <w:rsid w:val="00333981"/>
    <w:rsid w:val="00340241"/>
    <w:rsid w:val="00340869"/>
    <w:rsid w:val="00341B93"/>
    <w:rsid w:val="0034297E"/>
    <w:rsid w:val="00346931"/>
    <w:rsid w:val="003518D2"/>
    <w:rsid w:val="00353E12"/>
    <w:rsid w:val="00354FF9"/>
    <w:rsid w:val="00355429"/>
    <w:rsid w:val="00357C7B"/>
    <w:rsid w:val="00366B10"/>
    <w:rsid w:val="00367724"/>
    <w:rsid w:val="00372E05"/>
    <w:rsid w:val="00373D25"/>
    <w:rsid w:val="0037468C"/>
    <w:rsid w:val="00375426"/>
    <w:rsid w:val="00375AF1"/>
    <w:rsid w:val="003770AF"/>
    <w:rsid w:val="00377CCC"/>
    <w:rsid w:val="00380BD8"/>
    <w:rsid w:val="00384DC7"/>
    <w:rsid w:val="0038531B"/>
    <w:rsid w:val="00385BEC"/>
    <w:rsid w:val="003914EC"/>
    <w:rsid w:val="00396ED0"/>
    <w:rsid w:val="003A1E6D"/>
    <w:rsid w:val="003A22C2"/>
    <w:rsid w:val="003A5347"/>
    <w:rsid w:val="003A5A91"/>
    <w:rsid w:val="003A6FCE"/>
    <w:rsid w:val="003A7DAB"/>
    <w:rsid w:val="003B2BC2"/>
    <w:rsid w:val="003B2E65"/>
    <w:rsid w:val="003B64C6"/>
    <w:rsid w:val="003B6873"/>
    <w:rsid w:val="003B697B"/>
    <w:rsid w:val="003C0D75"/>
    <w:rsid w:val="003C1C5C"/>
    <w:rsid w:val="003C22BB"/>
    <w:rsid w:val="003C2FE4"/>
    <w:rsid w:val="003D09C7"/>
    <w:rsid w:val="003D294F"/>
    <w:rsid w:val="003D4BDD"/>
    <w:rsid w:val="003D5FC6"/>
    <w:rsid w:val="003D7496"/>
    <w:rsid w:val="003D77B6"/>
    <w:rsid w:val="003E0CFD"/>
    <w:rsid w:val="003E1A6C"/>
    <w:rsid w:val="003E4F70"/>
    <w:rsid w:val="003E6BCA"/>
    <w:rsid w:val="003F04F4"/>
    <w:rsid w:val="003F1847"/>
    <w:rsid w:val="003F3C21"/>
    <w:rsid w:val="003F497C"/>
    <w:rsid w:val="003F4C27"/>
    <w:rsid w:val="003F6E42"/>
    <w:rsid w:val="003F7A60"/>
    <w:rsid w:val="00400C4A"/>
    <w:rsid w:val="00402F77"/>
    <w:rsid w:val="004039A6"/>
    <w:rsid w:val="00404A54"/>
    <w:rsid w:val="004059E6"/>
    <w:rsid w:val="00405B0B"/>
    <w:rsid w:val="00406D36"/>
    <w:rsid w:val="00406F29"/>
    <w:rsid w:val="00407A19"/>
    <w:rsid w:val="00407B11"/>
    <w:rsid w:val="00407F45"/>
    <w:rsid w:val="004122AD"/>
    <w:rsid w:val="004125F8"/>
    <w:rsid w:val="00413FDE"/>
    <w:rsid w:val="0041562B"/>
    <w:rsid w:val="00416FA4"/>
    <w:rsid w:val="004176F7"/>
    <w:rsid w:val="00417C4E"/>
    <w:rsid w:val="00421E8F"/>
    <w:rsid w:val="0042451E"/>
    <w:rsid w:val="00425503"/>
    <w:rsid w:val="0042631F"/>
    <w:rsid w:val="0043303C"/>
    <w:rsid w:val="0043372F"/>
    <w:rsid w:val="00433C8A"/>
    <w:rsid w:val="00434C62"/>
    <w:rsid w:val="00434FF3"/>
    <w:rsid w:val="0043630A"/>
    <w:rsid w:val="00441209"/>
    <w:rsid w:val="00444225"/>
    <w:rsid w:val="004462EB"/>
    <w:rsid w:val="0044693F"/>
    <w:rsid w:val="00446B81"/>
    <w:rsid w:val="00447827"/>
    <w:rsid w:val="00447B2E"/>
    <w:rsid w:val="00450ECB"/>
    <w:rsid w:val="00453706"/>
    <w:rsid w:val="00454217"/>
    <w:rsid w:val="00454E9D"/>
    <w:rsid w:val="004559ED"/>
    <w:rsid w:val="00460259"/>
    <w:rsid w:val="0046205B"/>
    <w:rsid w:val="00463A52"/>
    <w:rsid w:val="0046406C"/>
    <w:rsid w:val="0046722F"/>
    <w:rsid w:val="0046735E"/>
    <w:rsid w:val="00470AC5"/>
    <w:rsid w:val="00473144"/>
    <w:rsid w:val="00474CA7"/>
    <w:rsid w:val="00475913"/>
    <w:rsid w:val="00490100"/>
    <w:rsid w:val="00490317"/>
    <w:rsid w:val="004955AC"/>
    <w:rsid w:val="004972BD"/>
    <w:rsid w:val="0049788B"/>
    <w:rsid w:val="004A01D2"/>
    <w:rsid w:val="004A0FCF"/>
    <w:rsid w:val="004A17C7"/>
    <w:rsid w:val="004A2865"/>
    <w:rsid w:val="004A2F58"/>
    <w:rsid w:val="004A4BA1"/>
    <w:rsid w:val="004A4D67"/>
    <w:rsid w:val="004A592F"/>
    <w:rsid w:val="004B5BF0"/>
    <w:rsid w:val="004B62F6"/>
    <w:rsid w:val="004C46E6"/>
    <w:rsid w:val="004D0FBF"/>
    <w:rsid w:val="004D1716"/>
    <w:rsid w:val="004D2150"/>
    <w:rsid w:val="004D2C92"/>
    <w:rsid w:val="004D3335"/>
    <w:rsid w:val="004D595F"/>
    <w:rsid w:val="004D674A"/>
    <w:rsid w:val="004D6BC2"/>
    <w:rsid w:val="004E5034"/>
    <w:rsid w:val="004E6F2B"/>
    <w:rsid w:val="004F1E11"/>
    <w:rsid w:val="004F3661"/>
    <w:rsid w:val="004F6E0D"/>
    <w:rsid w:val="004F7A3D"/>
    <w:rsid w:val="00500646"/>
    <w:rsid w:val="005050FC"/>
    <w:rsid w:val="00505BFA"/>
    <w:rsid w:val="0051469B"/>
    <w:rsid w:val="0051787F"/>
    <w:rsid w:val="00517A6F"/>
    <w:rsid w:val="005225B7"/>
    <w:rsid w:val="00522DEB"/>
    <w:rsid w:val="0052316B"/>
    <w:rsid w:val="005269CC"/>
    <w:rsid w:val="00530322"/>
    <w:rsid w:val="00532037"/>
    <w:rsid w:val="005336C2"/>
    <w:rsid w:val="00535ABB"/>
    <w:rsid w:val="0053669A"/>
    <w:rsid w:val="005370C2"/>
    <w:rsid w:val="005401CB"/>
    <w:rsid w:val="00542EFC"/>
    <w:rsid w:val="00543A6D"/>
    <w:rsid w:val="00544183"/>
    <w:rsid w:val="0054429B"/>
    <w:rsid w:val="005444F0"/>
    <w:rsid w:val="00545DAD"/>
    <w:rsid w:val="00554F44"/>
    <w:rsid w:val="00556568"/>
    <w:rsid w:val="00556864"/>
    <w:rsid w:val="00560584"/>
    <w:rsid w:val="00560C1A"/>
    <w:rsid w:val="005630BC"/>
    <w:rsid w:val="005631F9"/>
    <w:rsid w:val="00565055"/>
    <w:rsid w:val="00565142"/>
    <w:rsid w:val="005675F6"/>
    <w:rsid w:val="00571626"/>
    <w:rsid w:val="005721EE"/>
    <w:rsid w:val="005735EB"/>
    <w:rsid w:val="0057776B"/>
    <w:rsid w:val="00577E2B"/>
    <w:rsid w:val="00580DC1"/>
    <w:rsid w:val="00581147"/>
    <w:rsid w:val="00581E40"/>
    <w:rsid w:val="00582CE8"/>
    <w:rsid w:val="00583288"/>
    <w:rsid w:val="00583A23"/>
    <w:rsid w:val="0059012C"/>
    <w:rsid w:val="00591941"/>
    <w:rsid w:val="00596B96"/>
    <w:rsid w:val="00597AD5"/>
    <w:rsid w:val="005A0CAE"/>
    <w:rsid w:val="005A0D37"/>
    <w:rsid w:val="005A2A7F"/>
    <w:rsid w:val="005A4048"/>
    <w:rsid w:val="005A4DA9"/>
    <w:rsid w:val="005A7126"/>
    <w:rsid w:val="005A78EA"/>
    <w:rsid w:val="005B1158"/>
    <w:rsid w:val="005B1795"/>
    <w:rsid w:val="005B4C70"/>
    <w:rsid w:val="005C2420"/>
    <w:rsid w:val="005C2566"/>
    <w:rsid w:val="005C4CFC"/>
    <w:rsid w:val="005C4D33"/>
    <w:rsid w:val="005D07E1"/>
    <w:rsid w:val="005D0E1B"/>
    <w:rsid w:val="005D2274"/>
    <w:rsid w:val="005D3973"/>
    <w:rsid w:val="005D4B06"/>
    <w:rsid w:val="005E0764"/>
    <w:rsid w:val="005E2693"/>
    <w:rsid w:val="005E755C"/>
    <w:rsid w:val="005F08E2"/>
    <w:rsid w:val="005F3BB0"/>
    <w:rsid w:val="005F5426"/>
    <w:rsid w:val="005F57EB"/>
    <w:rsid w:val="00603DC1"/>
    <w:rsid w:val="006118C6"/>
    <w:rsid w:val="00611E70"/>
    <w:rsid w:val="00612093"/>
    <w:rsid w:val="006125C1"/>
    <w:rsid w:val="006149A5"/>
    <w:rsid w:val="00615147"/>
    <w:rsid w:val="00620C77"/>
    <w:rsid w:val="0062121E"/>
    <w:rsid w:val="00624A80"/>
    <w:rsid w:val="00627EED"/>
    <w:rsid w:val="00630709"/>
    <w:rsid w:val="00632562"/>
    <w:rsid w:val="00635EE2"/>
    <w:rsid w:val="006361E5"/>
    <w:rsid w:val="0063661E"/>
    <w:rsid w:val="00643500"/>
    <w:rsid w:val="0064439F"/>
    <w:rsid w:val="006455F2"/>
    <w:rsid w:val="006457D7"/>
    <w:rsid w:val="00645857"/>
    <w:rsid w:val="006461EC"/>
    <w:rsid w:val="00650365"/>
    <w:rsid w:val="00650DB7"/>
    <w:rsid w:val="00651FDE"/>
    <w:rsid w:val="00652D0A"/>
    <w:rsid w:val="00653AF0"/>
    <w:rsid w:val="0066031A"/>
    <w:rsid w:val="00661770"/>
    <w:rsid w:val="006635CB"/>
    <w:rsid w:val="0066416B"/>
    <w:rsid w:val="006731EA"/>
    <w:rsid w:val="00675774"/>
    <w:rsid w:val="0068039F"/>
    <w:rsid w:val="006811A5"/>
    <w:rsid w:val="00682FED"/>
    <w:rsid w:val="0068347A"/>
    <w:rsid w:val="006856E5"/>
    <w:rsid w:val="0068613B"/>
    <w:rsid w:val="00691F26"/>
    <w:rsid w:val="00692B35"/>
    <w:rsid w:val="00693E65"/>
    <w:rsid w:val="00694030"/>
    <w:rsid w:val="00695642"/>
    <w:rsid w:val="00695C24"/>
    <w:rsid w:val="0069767E"/>
    <w:rsid w:val="006A07E4"/>
    <w:rsid w:val="006A0C5C"/>
    <w:rsid w:val="006A1A4E"/>
    <w:rsid w:val="006A4A01"/>
    <w:rsid w:val="006A6E49"/>
    <w:rsid w:val="006B0D02"/>
    <w:rsid w:val="006B14C3"/>
    <w:rsid w:val="006B2333"/>
    <w:rsid w:val="006C040D"/>
    <w:rsid w:val="006C40D8"/>
    <w:rsid w:val="006C6678"/>
    <w:rsid w:val="006C7E68"/>
    <w:rsid w:val="006D17BE"/>
    <w:rsid w:val="006D2F02"/>
    <w:rsid w:val="006D6CE0"/>
    <w:rsid w:val="006D7602"/>
    <w:rsid w:val="006E09CC"/>
    <w:rsid w:val="006E1494"/>
    <w:rsid w:val="006E3209"/>
    <w:rsid w:val="006E3DCD"/>
    <w:rsid w:val="006E78A7"/>
    <w:rsid w:val="006E7FEF"/>
    <w:rsid w:val="006F27AE"/>
    <w:rsid w:val="006F3936"/>
    <w:rsid w:val="006F3B49"/>
    <w:rsid w:val="006F5767"/>
    <w:rsid w:val="006F579A"/>
    <w:rsid w:val="006F5F12"/>
    <w:rsid w:val="006F6CF2"/>
    <w:rsid w:val="006F7056"/>
    <w:rsid w:val="006F7C73"/>
    <w:rsid w:val="00700ADC"/>
    <w:rsid w:val="00704310"/>
    <w:rsid w:val="00705618"/>
    <w:rsid w:val="0070646B"/>
    <w:rsid w:val="007066FA"/>
    <w:rsid w:val="00707435"/>
    <w:rsid w:val="00707941"/>
    <w:rsid w:val="00714771"/>
    <w:rsid w:val="00716EFF"/>
    <w:rsid w:val="00724394"/>
    <w:rsid w:val="00724D10"/>
    <w:rsid w:val="00726C8F"/>
    <w:rsid w:val="00734793"/>
    <w:rsid w:val="00734C14"/>
    <w:rsid w:val="00735530"/>
    <w:rsid w:val="00737BCE"/>
    <w:rsid w:val="00740C62"/>
    <w:rsid w:val="00742DDB"/>
    <w:rsid w:val="00743F45"/>
    <w:rsid w:val="0074446E"/>
    <w:rsid w:val="0075021F"/>
    <w:rsid w:val="0075130D"/>
    <w:rsid w:val="007513C1"/>
    <w:rsid w:val="00752189"/>
    <w:rsid w:val="00755311"/>
    <w:rsid w:val="00761FAB"/>
    <w:rsid w:val="00762462"/>
    <w:rsid w:val="00763282"/>
    <w:rsid w:val="00765201"/>
    <w:rsid w:val="00765987"/>
    <w:rsid w:val="00765C14"/>
    <w:rsid w:val="00771FB6"/>
    <w:rsid w:val="0077406F"/>
    <w:rsid w:val="0077554E"/>
    <w:rsid w:val="007810F8"/>
    <w:rsid w:val="00781C39"/>
    <w:rsid w:val="00781DFA"/>
    <w:rsid w:val="0078318F"/>
    <w:rsid w:val="00784FEC"/>
    <w:rsid w:val="007852FE"/>
    <w:rsid w:val="0079253E"/>
    <w:rsid w:val="00794677"/>
    <w:rsid w:val="007967C2"/>
    <w:rsid w:val="007A4FDA"/>
    <w:rsid w:val="007A54DD"/>
    <w:rsid w:val="007A7635"/>
    <w:rsid w:val="007B092A"/>
    <w:rsid w:val="007B14E3"/>
    <w:rsid w:val="007B25EC"/>
    <w:rsid w:val="007B2FEC"/>
    <w:rsid w:val="007B4722"/>
    <w:rsid w:val="007B4E85"/>
    <w:rsid w:val="007B786E"/>
    <w:rsid w:val="007B7DAD"/>
    <w:rsid w:val="007B7E22"/>
    <w:rsid w:val="007C276A"/>
    <w:rsid w:val="007C6778"/>
    <w:rsid w:val="007C7BC4"/>
    <w:rsid w:val="007D3634"/>
    <w:rsid w:val="007D4369"/>
    <w:rsid w:val="007D53DF"/>
    <w:rsid w:val="007D6048"/>
    <w:rsid w:val="007D7E0D"/>
    <w:rsid w:val="007E59AC"/>
    <w:rsid w:val="007E783B"/>
    <w:rsid w:val="007F0BFE"/>
    <w:rsid w:val="007F0E1E"/>
    <w:rsid w:val="007F33ED"/>
    <w:rsid w:val="007F62EA"/>
    <w:rsid w:val="007F6E7B"/>
    <w:rsid w:val="0080146D"/>
    <w:rsid w:val="0080746B"/>
    <w:rsid w:val="00807485"/>
    <w:rsid w:val="00812F3D"/>
    <w:rsid w:val="00816D0F"/>
    <w:rsid w:val="00821D86"/>
    <w:rsid w:val="00822209"/>
    <w:rsid w:val="00822255"/>
    <w:rsid w:val="00823126"/>
    <w:rsid w:val="00824001"/>
    <w:rsid w:val="008247E1"/>
    <w:rsid w:val="00826203"/>
    <w:rsid w:val="00834248"/>
    <w:rsid w:val="00834B89"/>
    <w:rsid w:val="00836C44"/>
    <w:rsid w:val="00836E38"/>
    <w:rsid w:val="008453F3"/>
    <w:rsid w:val="0085033C"/>
    <w:rsid w:val="00852312"/>
    <w:rsid w:val="00853CA5"/>
    <w:rsid w:val="00854D11"/>
    <w:rsid w:val="008553EE"/>
    <w:rsid w:val="008574C6"/>
    <w:rsid w:val="008606A6"/>
    <w:rsid w:val="00862C41"/>
    <w:rsid w:val="00863ABD"/>
    <w:rsid w:val="00865F64"/>
    <w:rsid w:val="0086725A"/>
    <w:rsid w:val="008674A9"/>
    <w:rsid w:val="00872717"/>
    <w:rsid w:val="0087360B"/>
    <w:rsid w:val="008772E9"/>
    <w:rsid w:val="00882B0D"/>
    <w:rsid w:val="008843DB"/>
    <w:rsid w:val="00891BB8"/>
    <w:rsid w:val="00893454"/>
    <w:rsid w:val="00894618"/>
    <w:rsid w:val="008A4A19"/>
    <w:rsid w:val="008B00F4"/>
    <w:rsid w:val="008B5880"/>
    <w:rsid w:val="008B5B1E"/>
    <w:rsid w:val="008B6770"/>
    <w:rsid w:val="008B7AA7"/>
    <w:rsid w:val="008C0CB9"/>
    <w:rsid w:val="008C1373"/>
    <w:rsid w:val="008C1B06"/>
    <w:rsid w:val="008C259C"/>
    <w:rsid w:val="008C2A9E"/>
    <w:rsid w:val="008C4125"/>
    <w:rsid w:val="008C462F"/>
    <w:rsid w:val="008C523F"/>
    <w:rsid w:val="008C60E9"/>
    <w:rsid w:val="008C616A"/>
    <w:rsid w:val="008D1474"/>
    <w:rsid w:val="008D1EFB"/>
    <w:rsid w:val="008D26B4"/>
    <w:rsid w:val="008D27DD"/>
    <w:rsid w:val="008D5449"/>
    <w:rsid w:val="008D5B5D"/>
    <w:rsid w:val="008D6370"/>
    <w:rsid w:val="008D6862"/>
    <w:rsid w:val="008D7222"/>
    <w:rsid w:val="008D7700"/>
    <w:rsid w:val="008E33A2"/>
    <w:rsid w:val="008E3ACC"/>
    <w:rsid w:val="008E6D9C"/>
    <w:rsid w:val="008E715A"/>
    <w:rsid w:val="008E74F5"/>
    <w:rsid w:val="008E7D33"/>
    <w:rsid w:val="008F17A2"/>
    <w:rsid w:val="008F38E6"/>
    <w:rsid w:val="008F574B"/>
    <w:rsid w:val="008F7D93"/>
    <w:rsid w:val="009038C6"/>
    <w:rsid w:val="00903B7E"/>
    <w:rsid w:val="00903DED"/>
    <w:rsid w:val="00905EE2"/>
    <w:rsid w:val="00910D6B"/>
    <w:rsid w:val="009159C3"/>
    <w:rsid w:val="00921095"/>
    <w:rsid w:val="00923C45"/>
    <w:rsid w:val="00925670"/>
    <w:rsid w:val="00926E4D"/>
    <w:rsid w:val="00931702"/>
    <w:rsid w:val="00933541"/>
    <w:rsid w:val="009338AF"/>
    <w:rsid w:val="00933AA3"/>
    <w:rsid w:val="00936954"/>
    <w:rsid w:val="009377E9"/>
    <w:rsid w:val="009411C8"/>
    <w:rsid w:val="00945D69"/>
    <w:rsid w:val="00945D6A"/>
    <w:rsid w:val="00945EAE"/>
    <w:rsid w:val="0095079C"/>
    <w:rsid w:val="0096308C"/>
    <w:rsid w:val="00963531"/>
    <w:rsid w:val="00963565"/>
    <w:rsid w:val="00970278"/>
    <w:rsid w:val="00971B66"/>
    <w:rsid w:val="009728A4"/>
    <w:rsid w:val="00973363"/>
    <w:rsid w:val="00983910"/>
    <w:rsid w:val="0098541C"/>
    <w:rsid w:val="00986174"/>
    <w:rsid w:val="00986CD7"/>
    <w:rsid w:val="00990A52"/>
    <w:rsid w:val="00991B62"/>
    <w:rsid w:val="00993CC6"/>
    <w:rsid w:val="00993F1C"/>
    <w:rsid w:val="00995045"/>
    <w:rsid w:val="009959C4"/>
    <w:rsid w:val="00996F0D"/>
    <w:rsid w:val="00997074"/>
    <w:rsid w:val="009A0CEC"/>
    <w:rsid w:val="009A1186"/>
    <w:rsid w:val="009A2D0D"/>
    <w:rsid w:val="009A2D30"/>
    <w:rsid w:val="009A4D99"/>
    <w:rsid w:val="009B0F71"/>
    <w:rsid w:val="009B4B87"/>
    <w:rsid w:val="009B6698"/>
    <w:rsid w:val="009C05DD"/>
    <w:rsid w:val="009C0727"/>
    <w:rsid w:val="009C583D"/>
    <w:rsid w:val="009D09C0"/>
    <w:rsid w:val="009D24F7"/>
    <w:rsid w:val="009D2604"/>
    <w:rsid w:val="009D52FD"/>
    <w:rsid w:val="009D7629"/>
    <w:rsid w:val="009D7DD2"/>
    <w:rsid w:val="009E12FB"/>
    <w:rsid w:val="009E2561"/>
    <w:rsid w:val="009E2D06"/>
    <w:rsid w:val="009E4071"/>
    <w:rsid w:val="009E6BE1"/>
    <w:rsid w:val="009E709C"/>
    <w:rsid w:val="009E7519"/>
    <w:rsid w:val="009E7D4E"/>
    <w:rsid w:val="009F0109"/>
    <w:rsid w:val="009F1B73"/>
    <w:rsid w:val="009F236C"/>
    <w:rsid w:val="009F5485"/>
    <w:rsid w:val="009F6B23"/>
    <w:rsid w:val="009F6F51"/>
    <w:rsid w:val="009F73A5"/>
    <w:rsid w:val="00A02024"/>
    <w:rsid w:val="00A02508"/>
    <w:rsid w:val="00A05303"/>
    <w:rsid w:val="00A06C09"/>
    <w:rsid w:val="00A12199"/>
    <w:rsid w:val="00A12642"/>
    <w:rsid w:val="00A141C5"/>
    <w:rsid w:val="00A1530D"/>
    <w:rsid w:val="00A17573"/>
    <w:rsid w:val="00A20EFF"/>
    <w:rsid w:val="00A22496"/>
    <w:rsid w:val="00A231FF"/>
    <w:rsid w:val="00A24665"/>
    <w:rsid w:val="00A26202"/>
    <w:rsid w:val="00A2669B"/>
    <w:rsid w:val="00A2729A"/>
    <w:rsid w:val="00A3052A"/>
    <w:rsid w:val="00A32B67"/>
    <w:rsid w:val="00A33273"/>
    <w:rsid w:val="00A35494"/>
    <w:rsid w:val="00A3736E"/>
    <w:rsid w:val="00A3760C"/>
    <w:rsid w:val="00A40C28"/>
    <w:rsid w:val="00A41DA6"/>
    <w:rsid w:val="00A43272"/>
    <w:rsid w:val="00A4454A"/>
    <w:rsid w:val="00A458A2"/>
    <w:rsid w:val="00A463D5"/>
    <w:rsid w:val="00A50AA4"/>
    <w:rsid w:val="00A50CF4"/>
    <w:rsid w:val="00A51F82"/>
    <w:rsid w:val="00A53B89"/>
    <w:rsid w:val="00A54204"/>
    <w:rsid w:val="00A544D9"/>
    <w:rsid w:val="00A57E9A"/>
    <w:rsid w:val="00A6375B"/>
    <w:rsid w:val="00A65439"/>
    <w:rsid w:val="00A662E8"/>
    <w:rsid w:val="00A67513"/>
    <w:rsid w:val="00A723E2"/>
    <w:rsid w:val="00A72864"/>
    <w:rsid w:val="00A731BF"/>
    <w:rsid w:val="00A73D41"/>
    <w:rsid w:val="00A73DC5"/>
    <w:rsid w:val="00A75A55"/>
    <w:rsid w:val="00A77055"/>
    <w:rsid w:val="00A80694"/>
    <w:rsid w:val="00A81B15"/>
    <w:rsid w:val="00A85D36"/>
    <w:rsid w:val="00A85DBC"/>
    <w:rsid w:val="00A904A5"/>
    <w:rsid w:val="00A916B5"/>
    <w:rsid w:val="00A9227F"/>
    <w:rsid w:val="00A92F6D"/>
    <w:rsid w:val="00A941E9"/>
    <w:rsid w:val="00A95050"/>
    <w:rsid w:val="00A974C1"/>
    <w:rsid w:val="00AA1671"/>
    <w:rsid w:val="00AA3054"/>
    <w:rsid w:val="00AA3371"/>
    <w:rsid w:val="00AA57BA"/>
    <w:rsid w:val="00AA7F04"/>
    <w:rsid w:val="00AB1525"/>
    <w:rsid w:val="00AB1AC7"/>
    <w:rsid w:val="00AB25A3"/>
    <w:rsid w:val="00AB3F85"/>
    <w:rsid w:val="00AB6C6B"/>
    <w:rsid w:val="00AB6EED"/>
    <w:rsid w:val="00AC3936"/>
    <w:rsid w:val="00AC7DE4"/>
    <w:rsid w:val="00AC7FF9"/>
    <w:rsid w:val="00AD0B41"/>
    <w:rsid w:val="00AD4349"/>
    <w:rsid w:val="00AD4837"/>
    <w:rsid w:val="00AD5658"/>
    <w:rsid w:val="00AD5FFF"/>
    <w:rsid w:val="00AE0C09"/>
    <w:rsid w:val="00AE3143"/>
    <w:rsid w:val="00AE4ECB"/>
    <w:rsid w:val="00AE616E"/>
    <w:rsid w:val="00AE6251"/>
    <w:rsid w:val="00AE6747"/>
    <w:rsid w:val="00AE751D"/>
    <w:rsid w:val="00AE7E33"/>
    <w:rsid w:val="00AF3283"/>
    <w:rsid w:val="00AF7029"/>
    <w:rsid w:val="00AF75B6"/>
    <w:rsid w:val="00B01267"/>
    <w:rsid w:val="00B03E25"/>
    <w:rsid w:val="00B04ECA"/>
    <w:rsid w:val="00B0782F"/>
    <w:rsid w:val="00B114BF"/>
    <w:rsid w:val="00B14F12"/>
    <w:rsid w:val="00B16698"/>
    <w:rsid w:val="00B21246"/>
    <w:rsid w:val="00B2479C"/>
    <w:rsid w:val="00B24BDB"/>
    <w:rsid w:val="00B24D64"/>
    <w:rsid w:val="00B261B0"/>
    <w:rsid w:val="00B3235D"/>
    <w:rsid w:val="00B33F0A"/>
    <w:rsid w:val="00B34085"/>
    <w:rsid w:val="00B41F8E"/>
    <w:rsid w:val="00B45381"/>
    <w:rsid w:val="00B4749D"/>
    <w:rsid w:val="00B50BEC"/>
    <w:rsid w:val="00B50E05"/>
    <w:rsid w:val="00B50ECE"/>
    <w:rsid w:val="00B51B52"/>
    <w:rsid w:val="00B53531"/>
    <w:rsid w:val="00B54696"/>
    <w:rsid w:val="00B57BE1"/>
    <w:rsid w:val="00B63B85"/>
    <w:rsid w:val="00B640FE"/>
    <w:rsid w:val="00B672EF"/>
    <w:rsid w:val="00B73D60"/>
    <w:rsid w:val="00B74BCA"/>
    <w:rsid w:val="00B77FE7"/>
    <w:rsid w:val="00B81D81"/>
    <w:rsid w:val="00B821D4"/>
    <w:rsid w:val="00B822FD"/>
    <w:rsid w:val="00B82FA3"/>
    <w:rsid w:val="00B84052"/>
    <w:rsid w:val="00B8405E"/>
    <w:rsid w:val="00B8446C"/>
    <w:rsid w:val="00B8684E"/>
    <w:rsid w:val="00B92687"/>
    <w:rsid w:val="00B93641"/>
    <w:rsid w:val="00B94293"/>
    <w:rsid w:val="00B951C9"/>
    <w:rsid w:val="00B97128"/>
    <w:rsid w:val="00BA0048"/>
    <w:rsid w:val="00BA037F"/>
    <w:rsid w:val="00BA114A"/>
    <w:rsid w:val="00BA29F8"/>
    <w:rsid w:val="00BA3FE5"/>
    <w:rsid w:val="00BA426E"/>
    <w:rsid w:val="00BA6AE1"/>
    <w:rsid w:val="00BA70A8"/>
    <w:rsid w:val="00BA7AC2"/>
    <w:rsid w:val="00BB2D1E"/>
    <w:rsid w:val="00BB3247"/>
    <w:rsid w:val="00BB6526"/>
    <w:rsid w:val="00BB691D"/>
    <w:rsid w:val="00BC0FFA"/>
    <w:rsid w:val="00BC219D"/>
    <w:rsid w:val="00BC2FEC"/>
    <w:rsid w:val="00BC648F"/>
    <w:rsid w:val="00BC6874"/>
    <w:rsid w:val="00BC71DD"/>
    <w:rsid w:val="00BD0E9B"/>
    <w:rsid w:val="00BD0ED0"/>
    <w:rsid w:val="00BD101C"/>
    <w:rsid w:val="00BD52A7"/>
    <w:rsid w:val="00BE055F"/>
    <w:rsid w:val="00BE4C87"/>
    <w:rsid w:val="00BE6425"/>
    <w:rsid w:val="00BF048A"/>
    <w:rsid w:val="00BF0724"/>
    <w:rsid w:val="00BF0849"/>
    <w:rsid w:val="00BF5AC2"/>
    <w:rsid w:val="00BF694B"/>
    <w:rsid w:val="00BF6A22"/>
    <w:rsid w:val="00BF7163"/>
    <w:rsid w:val="00C00532"/>
    <w:rsid w:val="00C00F14"/>
    <w:rsid w:val="00C03635"/>
    <w:rsid w:val="00C03AFF"/>
    <w:rsid w:val="00C04489"/>
    <w:rsid w:val="00C07870"/>
    <w:rsid w:val="00C10BBF"/>
    <w:rsid w:val="00C111E3"/>
    <w:rsid w:val="00C13435"/>
    <w:rsid w:val="00C13E58"/>
    <w:rsid w:val="00C15761"/>
    <w:rsid w:val="00C16CF7"/>
    <w:rsid w:val="00C17276"/>
    <w:rsid w:val="00C27C54"/>
    <w:rsid w:val="00C301F3"/>
    <w:rsid w:val="00C36147"/>
    <w:rsid w:val="00C36EBB"/>
    <w:rsid w:val="00C40654"/>
    <w:rsid w:val="00C41289"/>
    <w:rsid w:val="00C42BF7"/>
    <w:rsid w:val="00C438F1"/>
    <w:rsid w:val="00C4645C"/>
    <w:rsid w:val="00C472C5"/>
    <w:rsid w:val="00C4743B"/>
    <w:rsid w:val="00C551C3"/>
    <w:rsid w:val="00C5651D"/>
    <w:rsid w:val="00C57003"/>
    <w:rsid w:val="00C615E9"/>
    <w:rsid w:val="00C61962"/>
    <w:rsid w:val="00C6538B"/>
    <w:rsid w:val="00C7055A"/>
    <w:rsid w:val="00C7134C"/>
    <w:rsid w:val="00C73503"/>
    <w:rsid w:val="00C768BD"/>
    <w:rsid w:val="00C84FD2"/>
    <w:rsid w:val="00C8525F"/>
    <w:rsid w:val="00C85954"/>
    <w:rsid w:val="00C85DA9"/>
    <w:rsid w:val="00C86B54"/>
    <w:rsid w:val="00C93B7E"/>
    <w:rsid w:val="00C9415D"/>
    <w:rsid w:val="00C976F3"/>
    <w:rsid w:val="00C97FAD"/>
    <w:rsid w:val="00C97FC0"/>
    <w:rsid w:val="00CA23E7"/>
    <w:rsid w:val="00CA2959"/>
    <w:rsid w:val="00CA33C7"/>
    <w:rsid w:val="00CA547B"/>
    <w:rsid w:val="00CA7634"/>
    <w:rsid w:val="00CB514F"/>
    <w:rsid w:val="00CB5422"/>
    <w:rsid w:val="00CB5E1B"/>
    <w:rsid w:val="00CC017B"/>
    <w:rsid w:val="00CC0C22"/>
    <w:rsid w:val="00CC2570"/>
    <w:rsid w:val="00CC6B3B"/>
    <w:rsid w:val="00CD1E4B"/>
    <w:rsid w:val="00CD6B0D"/>
    <w:rsid w:val="00CD6F72"/>
    <w:rsid w:val="00CD7350"/>
    <w:rsid w:val="00CE1C64"/>
    <w:rsid w:val="00CE260B"/>
    <w:rsid w:val="00CE3489"/>
    <w:rsid w:val="00CE3A74"/>
    <w:rsid w:val="00CE4288"/>
    <w:rsid w:val="00CE76AC"/>
    <w:rsid w:val="00CF2166"/>
    <w:rsid w:val="00CF23CD"/>
    <w:rsid w:val="00CF45C4"/>
    <w:rsid w:val="00CF7800"/>
    <w:rsid w:val="00CF798C"/>
    <w:rsid w:val="00D007A5"/>
    <w:rsid w:val="00D0093D"/>
    <w:rsid w:val="00D00B09"/>
    <w:rsid w:val="00D00E61"/>
    <w:rsid w:val="00D03060"/>
    <w:rsid w:val="00D0522D"/>
    <w:rsid w:val="00D05351"/>
    <w:rsid w:val="00D06B1F"/>
    <w:rsid w:val="00D06D06"/>
    <w:rsid w:val="00D0766A"/>
    <w:rsid w:val="00D1003C"/>
    <w:rsid w:val="00D10168"/>
    <w:rsid w:val="00D109F7"/>
    <w:rsid w:val="00D11B9B"/>
    <w:rsid w:val="00D139E9"/>
    <w:rsid w:val="00D1759B"/>
    <w:rsid w:val="00D3571E"/>
    <w:rsid w:val="00D35890"/>
    <w:rsid w:val="00D35EDA"/>
    <w:rsid w:val="00D37EE4"/>
    <w:rsid w:val="00D4386A"/>
    <w:rsid w:val="00D4519A"/>
    <w:rsid w:val="00D466EE"/>
    <w:rsid w:val="00D46DCE"/>
    <w:rsid w:val="00D507F3"/>
    <w:rsid w:val="00D50A8E"/>
    <w:rsid w:val="00D520E4"/>
    <w:rsid w:val="00D522A5"/>
    <w:rsid w:val="00D52995"/>
    <w:rsid w:val="00D57DFA"/>
    <w:rsid w:val="00D639E8"/>
    <w:rsid w:val="00D65DCB"/>
    <w:rsid w:val="00D66750"/>
    <w:rsid w:val="00D676E9"/>
    <w:rsid w:val="00D71751"/>
    <w:rsid w:val="00D731E2"/>
    <w:rsid w:val="00D7329A"/>
    <w:rsid w:val="00D770B6"/>
    <w:rsid w:val="00D77DF0"/>
    <w:rsid w:val="00D8143B"/>
    <w:rsid w:val="00D84D68"/>
    <w:rsid w:val="00D902EE"/>
    <w:rsid w:val="00D9131C"/>
    <w:rsid w:val="00D92642"/>
    <w:rsid w:val="00D945A3"/>
    <w:rsid w:val="00D9586C"/>
    <w:rsid w:val="00D95A41"/>
    <w:rsid w:val="00DA21DB"/>
    <w:rsid w:val="00DA3B5C"/>
    <w:rsid w:val="00DA5407"/>
    <w:rsid w:val="00DA57FA"/>
    <w:rsid w:val="00DA7F95"/>
    <w:rsid w:val="00DB1113"/>
    <w:rsid w:val="00DB434E"/>
    <w:rsid w:val="00DB5838"/>
    <w:rsid w:val="00DB6E2A"/>
    <w:rsid w:val="00DC428D"/>
    <w:rsid w:val="00DD0C2C"/>
    <w:rsid w:val="00DD222E"/>
    <w:rsid w:val="00DD2251"/>
    <w:rsid w:val="00DD5704"/>
    <w:rsid w:val="00DE0CDF"/>
    <w:rsid w:val="00DE31E2"/>
    <w:rsid w:val="00DE3D9E"/>
    <w:rsid w:val="00DE40FD"/>
    <w:rsid w:val="00DE42E0"/>
    <w:rsid w:val="00DE4DE6"/>
    <w:rsid w:val="00DE604E"/>
    <w:rsid w:val="00DE6D9A"/>
    <w:rsid w:val="00DE78D4"/>
    <w:rsid w:val="00DE7F0F"/>
    <w:rsid w:val="00DF02A2"/>
    <w:rsid w:val="00DF197D"/>
    <w:rsid w:val="00DF1B8A"/>
    <w:rsid w:val="00DF2750"/>
    <w:rsid w:val="00DF3625"/>
    <w:rsid w:val="00DF3D95"/>
    <w:rsid w:val="00DF412D"/>
    <w:rsid w:val="00DF5B9D"/>
    <w:rsid w:val="00DF7732"/>
    <w:rsid w:val="00E00CFC"/>
    <w:rsid w:val="00E02755"/>
    <w:rsid w:val="00E06D03"/>
    <w:rsid w:val="00E072C3"/>
    <w:rsid w:val="00E078EE"/>
    <w:rsid w:val="00E07F17"/>
    <w:rsid w:val="00E123AC"/>
    <w:rsid w:val="00E1416A"/>
    <w:rsid w:val="00E15492"/>
    <w:rsid w:val="00E17DA5"/>
    <w:rsid w:val="00E20333"/>
    <w:rsid w:val="00E2054C"/>
    <w:rsid w:val="00E21FBF"/>
    <w:rsid w:val="00E23D57"/>
    <w:rsid w:val="00E23D6B"/>
    <w:rsid w:val="00E23F94"/>
    <w:rsid w:val="00E24F23"/>
    <w:rsid w:val="00E26022"/>
    <w:rsid w:val="00E2775D"/>
    <w:rsid w:val="00E31E42"/>
    <w:rsid w:val="00E3502C"/>
    <w:rsid w:val="00E37AEB"/>
    <w:rsid w:val="00E40E30"/>
    <w:rsid w:val="00E435E1"/>
    <w:rsid w:val="00E518E8"/>
    <w:rsid w:val="00E551B3"/>
    <w:rsid w:val="00E55ABC"/>
    <w:rsid w:val="00E56068"/>
    <w:rsid w:val="00E579D8"/>
    <w:rsid w:val="00E57B45"/>
    <w:rsid w:val="00E57B74"/>
    <w:rsid w:val="00E57FA7"/>
    <w:rsid w:val="00E61642"/>
    <w:rsid w:val="00E624F2"/>
    <w:rsid w:val="00E62FB5"/>
    <w:rsid w:val="00E64364"/>
    <w:rsid w:val="00E64A29"/>
    <w:rsid w:val="00E66504"/>
    <w:rsid w:val="00E74494"/>
    <w:rsid w:val="00E745B8"/>
    <w:rsid w:val="00E81F45"/>
    <w:rsid w:val="00E83869"/>
    <w:rsid w:val="00E848CD"/>
    <w:rsid w:val="00E8629F"/>
    <w:rsid w:val="00E908EA"/>
    <w:rsid w:val="00E91393"/>
    <w:rsid w:val="00E929F6"/>
    <w:rsid w:val="00E959C5"/>
    <w:rsid w:val="00EA0D25"/>
    <w:rsid w:val="00EA3C24"/>
    <w:rsid w:val="00EA458C"/>
    <w:rsid w:val="00EA4C9D"/>
    <w:rsid w:val="00EA5919"/>
    <w:rsid w:val="00EA64C9"/>
    <w:rsid w:val="00EB4A83"/>
    <w:rsid w:val="00EB60B4"/>
    <w:rsid w:val="00EC20E9"/>
    <w:rsid w:val="00EC5711"/>
    <w:rsid w:val="00ED02B5"/>
    <w:rsid w:val="00ED0A3E"/>
    <w:rsid w:val="00ED0F5B"/>
    <w:rsid w:val="00ED1787"/>
    <w:rsid w:val="00ED37D2"/>
    <w:rsid w:val="00ED742A"/>
    <w:rsid w:val="00EE1E34"/>
    <w:rsid w:val="00EE39E2"/>
    <w:rsid w:val="00EE5C80"/>
    <w:rsid w:val="00EE646F"/>
    <w:rsid w:val="00EE7AFF"/>
    <w:rsid w:val="00EE7E33"/>
    <w:rsid w:val="00EF0CD1"/>
    <w:rsid w:val="00EF55FD"/>
    <w:rsid w:val="00EF5DF0"/>
    <w:rsid w:val="00EF75AA"/>
    <w:rsid w:val="00EF7FBB"/>
    <w:rsid w:val="00F02212"/>
    <w:rsid w:val="00F035F3"/>
    <w:rsid w:val="00F072D8"/>
    <w:rsid w:val="00F17E40"/>
    <w:rsid w:val="00F218E6"/>
    <w:rsid w:val="00F233CB"/>
    <w:rsid w:val="00F23A1C"/>
    <w:rsid w:val="00F24E12"/>
    <w:rsid w:val="00F251A3"/>
    <w:rsid w:val="00F26279"/>
    <w:rsid w:val="00F27139"/>
    <w:rsid w:val="00F30984"/>
    <w:rsid w:val="00F30F0C"/>
    <w:rsid w:val="00F3325A"/>
    <w:rsid w:val="00F336F2"/>
    <w:rsid w:val="00F3391A"/>
    <w:rsid w:val="00F35768"/>
    <w:rsid w:val="00F37A33"/>
    <w:rsid w:val="00F409E4"/>
    <w:rsid w:val="00F41B78"/>
    <w:rsid w:val="00F443F4"/>
    <w:rsid w:val="00F44857"/>
    <w:rsid w:val="00F44999"/>
    <w:rsid w:val="00F4740B"/>
    <w:rsid w:val="00F50901"/>
    <w:rsid w:val="00F5353A"/>
    <w:rsid w:val="00F541A1"/>
    <w:rsid w:val="00F562B0"/>
    <w:rsid w:val="00F5691E"/>
    <w:rsid w:val="00F6005A"/>
    <w:rsid w:val="00F60119"/>
    <w:rsid w:val="00F618EA"/>
    <w:rsid w:val="00F626C1"/>
    <w:rsid w:val="00F65B1C"/>
    <w:rsid w:val="00F67D7D"/>
    <w:rsid w:val="00F70509"/>
    <w:rsid w:val="00F70757"/>
    <w:rsid w:val="00F71867"/>
    <w:rsid w:val="00F755AA"/>
    <w:rsid w:val="00F75647"/>
    <w:rsid w:val="00F759A9"/>
    <w:rsid w:val="00F777CB"/>
    <w:rsid w:val="00F779BE"/>
    <w:rsid w:val="00F84794"/>
    <w:rsid w:val="00F91C49"/>
    <w:rsid w:val="00F92AFE"/>
    <w:rsid w:val="00F93FD9"/>
    <w:rsid w:val="00FA0E12"/>
    <w:rsid w:val="00FA15CE"/>
    <w:rsid w:val="00FA1737"/>
    <w:rsid w:val="00FA33CA"/>
    <w:rsid w:val="00FA5284"/>
    <w:rsid w:val="00FA6322"/>
    <w:rsid w:val="00FB10C4"/>
    <w:rsid w:val="00FB2928"/>
    <w:rsid w:val="00FB2B75"/>
    <w:rsid w:val="00FB7EBD"/>
    <w:rsid w:val="00FC051F"/>
    <w:rsid w:val="00FC4557"/>
    <w:rsid w:val="00FC5A90"/>
    <w:rsid w:val="00FC7717"/>
    <w:rsid w:val="00FD153D"/>
    <w:rsid w:val="00FD20C7"/>
    <w:rsid w:val="00FD3228"/>
    <w:rsid w:val="00FD3E5C"/>
    <w:rsid w:val="00FD4C2F"/>
    <w:rsid w:val="00FD6591"/>
    <w:rsid w:val="00FE1A6C"/>
    <w:rsid w:val="00FE2FE5"/>
    <w:rsid w:val="00FE3DC5"/>
    <w:rsid w:val="00FE4A8E"/>
    <w:rsid w:val="00FE4CF6"/>
    <w:rsid w:val="00FE5080"/>
    <w:rsid w:val="00FE64F1"/>
    <w:rsid w:val="00FE7993"/>
    <w:rsid w:val="00FF2848"/>
    <w:rsid w:val="00FF4237"/>
    <w:rsid w:val="00FF51C8"/>
    <w:rsid w:val="00FF6900"/>
    <w:rsid w:val="00FF79A2"/>
    <w:rsid w:val="034339E7"/>
    <w:rsid w:val="05B906FB"/>
    <w:rsid w:val="074712C6"/>
    <w:rsid w:val="078A4510"/>
    <w:rsid w:val="08C068E7"/>
    <w:rsid w:val="0B1D7A4B"/>
    <w:rsid w:val="0B9F461F"/>
    <w:rsid w:val="0D6E3A97"/>
    <w:rsid w:val="0D832323"/>
    <w:rsid w:val="0FCD0BC5"/>
    <w:rsid w:val="0FFD4810"/>
    <w:rsid w:val="16150148"/>
    <w:rsid w:val="16997641"/>
    <w:rsid w:val="18AD6B08"/>
    <w:rsid w:val="19D46199"/>
    <w:rsid w:val="1BAB3F72"/>
    <w:rsid w:val="1E34141D"/>
    <w:rsid w:val="1E913D35"/>
    <w:rsid w:val="1FCE3098"/>
    <w:rsid w:val="1FD225DC"/>
    <w:rsid w:val="1FEB75F5"/>
    <w:rsid w:val="20CC6AF1"/>
    <w:rsid w:val="218D6694"/>
    <w:rsid w:val="2484511C"/>
    <w:rsid w:val="293A46B3"/>
    <w:rsid w:val="298C7D0B"/>
    <w:rsid w:val="2A9A54FE"/>
    <w:rsid w:val="2D4A4E5E"/>
    <w:rsid w:val="2FFF0BCF"/>
    <w:rsid w:val="30E03740"/>
    <w:rsid w:val="31347947"/>
    <w:rsid w:val="315D0B0B"/>
    <w:rsid w:val="31CC32BD"/>
    <w:rsid w:val="3344649B"/>
    <w:rsid w:val="337A3108"/>
    <w:rsid w:val="342F3E2C"/>
    <w:rsid w:val="350A0484"/>
    <w:rsid w:val="3E59645B"/>
    <w:rsid w:val="440B6331"/>
    <w:rsid w:val="45C75919"/>
    <w:rsid w:val="49270131"/>
    <w:rsid w:val="4AC30CF5"/>
    <w:rsid w:val="4E154828"/>
    <w:rsid w:val="4EE80403"/>
    <w:rsid w:val="502F7753"/>
    <w:rsid w:val="527C36BC"/>
    <w:rsid w:val="539B03B7"/>
    <w:rsid w:val="53B12386"/>
    <w:rsid w:val="541D768B"/>
    <w:rsid w:val="54DF51CB"/>
    <w:rsid w:val="55E23AF4"/>
    <w:rsid w:val="597C7405"/>
    <w:rsid w:val="5CF70BA6"/>
    <w:rsid w:val="5D346979"/>
    <w:rsid w:val="5D3F4A3A"/>
    <w:rsid w:val="5D890602"/>
    <w:rsid w:val="5EA842DD"/>
    <w:rsid w:val="618D2D9B"/>
    <w:rsid w:val="61A93FE7"/>
    <w:rsid w:val="61EF4230"/>
    <w:rsid w:val="670D43B9"/>
    <w:rsid w:val="683B3E0E"/>
    <w:rsid w:val="684C2F26"/>
    <w:rsid w:val="6921668A"/>
    <w:rsid w:val="6B213BD1"/>
    <w:rsid w:val="6D0D7AB6"/>
    <w:rsid w:val="6F846384"/>
    <w:rsid w:val="716C1728"/>
    <w:rsid w:val="72D231ED"/>
    <w:rsid w:val="73F51CC6"/>
    <w:rsid w:val="74566BED"/>
    <w:rsid w:val="74C85C27"/>
    <w:rsid w:val="7556644F"/>
    <w:rsid w:val="76F679B7"/>
    <w:rsid w:val="79F53325"/>
    <w:rsid w:val="7A926A27"/>
    <w:rsid w:val="7AB5224A"/>
    <w:rsid w:val="7E3A18C4"/>
    <w:rsid w:val="7EB6545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17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link w:val="60"/>
    <w:qFormat/>
    <w:uiPriority w:val="0"/>
    <w:pPr>
      <w:pBdr>
        <w:top w:val="none" w:color="auto" w:sz="0" w:space="0"/>
      </w:pBdr>
      <w:spacing w:before="180"/>
      <w:outlineLvl w:val="1"/>
    </w:pPr>
    <w:rPr>
      <w:sz w:val="32"/>
    </w:rPr>
  </w:style>
  <w:style w:type="paragraph" w:styleId="4">
    <w:name w:val="heading 3"/>
    <w:basedOn w:val="3"/>
    <w:next w:val="1"/>
    <w:link w:val="171"/>
    <w:qFormat/>
    <w:uiPriority w:val="0"/>
    <w:pPr>
      <w:spacing w:before="120"/>
      <w:outlineLvl w:val="2"/>
    </w:pPr>
    <w:rPr>
      <w:sz w:val="28"/>
    </w:rPr>
  </w:style>
  <w:style w:type="paragraph" w:styleId="5">
    <w:name w:val="heading 4"/>
    <w:basedOn w:val="4"/>
    <w:next w:val="1"/>
    <w:link w:val="176"/>
    <w:qFormat/>
    <w:uiPriority w:val="0"/>
    <w:pPr>
      <w:ind w:left="1418" w:hanging="1418"/>
      <w:outlineLvl w:val="3"/>
    </w:pPr>
    <w:rPr>
      <w:sz w:val="24"/>
    </w:rPr>
  </w:style>
  <w:style w:type="paragraph" w:styleId="6">
    <w:name w:val="heading 5"/>
    <w:basedOn w:val="5"/>
    <w:next w:val="1"/>
    <w:link w:val="177"/>
    <w:qFormat/>
    <w:uiPriority w:val="0"/>
    <w:pPr>
      <w:ind w:left="1701" w:hanging="1701"/>
      <w:outlineLvl w:val="4"/>
    </w:pPr>
    <w:rPr>
      <w:sz w:val="22"/>
    </w:rPr>
  </w:style>
  <w:style w:type="paragraph" w:styleId="7">
    <w:name w:val="heading 6"/>
    <w:basedOn w:val="8"/>
    <w:next w:val="1"/>
    <w:link w:val="178"/>
    <w:qFormat/>
    <w:uiPriority w:val="0"/>
    <w:pPr>
      <w:outlineLvl w:val="5"/>
    </w:pPr>
  </w:style>
  <w:style w:type="paragraph" w:styleId="9">
    <w:name w:val="heading 7"/>
    <w:basedOn w:val="8"/>
    <w:next w:val="1"/>
    <w:link w:val="179"/>
    <w:qFormat/>
    <w:uiPriority w:val="0"/>
    <w:pPr>
      <w:outlineLvl w:val="6"/>
    </w:pPr>
  </w:style>
  <w:style w:type="paragraph" w:styleId="10">
    <w:name w:val="heading 8"/>
    <w:basedOn w:val="2"/>
    <w:next w:val="1"/>
    <w:link w:val="180"/>
    <w:qFormat/>
    <w:uiPriority w:val="0"/>
    <w:pPr>
      <w:ind w:left="0" w:firstLine="0"/>
      <w:outlineLvl w:val="7"/>
    </w:pPr>
  </w:style>
  <w:style w:type="paragraph" w:styleId="11">
    <w:name w:val="heading 9"/>
    <w:basedOn w:val="10"/>
    <w:next w:val="1"/>
    <w:link w:val="181"/>
    <w:qFormat/>
    <w:uiPriority w:val="0"/>
    <w:pPr>
      <w:outlineLvl w:val="8"/>
    </w:pPr>
  </w:style>
  <w:style w:type="character" w:default="1" w:styleId="52">
    <w:name w:val="Default Paragraph Font"/>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tabs>
        <w:tab w:val="right" w:leader="dot" w:pos="9639"/>
      </w:tabs>
      <w:spacing w:before="0"/>
      <w:ind w:left="851" w:hanging="851"/>
    </w:pPr>
    <w:rPr>
      <w:sz w:val="20"/>
    </w:rPr>
  </w:style>
  <w:style w:type="paragraph" w:styleId="21">
    <w:name w:val="toc 1"/>
    <w:next w:val="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spacing w:before="120" w:after="120"/>
    </w:pPr>
    <w:rPr>
      <w:b/>
    </w:rPr>
  </w:style>
  <w:style w:type="paragraph" w:styleId="29">
    <w:name w:val="Document Map"/>
    <w:basedOn w:val="1"/>
    <w:link w:val="191"/>
    <w:semiHidden/>
    <w:qFormat/>
    <w:uiPriority w:val="0"/>
    <w:pPr>
      <w:shd w:val="clear" w:color="auto" w:fill="000080"/>
    </w:pPr>
    <w:rPr>
      <w:rFonts w:ascii="Tahoma" w:hAnsi="Tahoma"/>
    </w:rPr>
  </w:style>
  <w:style w:type="paragraph" w:styleId="30">
    <w:name w:val="annotation text"/>
    <w:basedOn w:val="1"/>
    <w:link w:val="102"/>
    <w:qFormat/>
    <w:uiPriority w:val="0"/>
  </w:style>
  <w:style w:type="paragraph" w:styleId="31">
    <w:name w:val="Body Text"/>
    <w:basedOn w:val="1"/>
    <w:link w:val="193"/>
    <w:qFormat/>
    <w:uiPriority w:val="0"/>
  </w:style>
  <w:style w:type="paragraph" w:styleId="32">
    <w:name w:val="Body Text Indent"/>
    <w:basedOn w:val="1"/>
    <w:link w:val="104"/>
    <w:qFormat/>
    <w:uiPriority w:val="0"/>
    <w:pPr>
      <w:ind w:left="720"/>
    </w:pPr>
    <w:rPr>
      <w:b/>
      <w:bCs/>
      <w:lang w:eastAsia="en-GB"/>
    </w:rPr>
  </w:style>
  <w:style w:type="paragraph" w:styleId="33">
    <w:name w:val="Plain Text"/>
    <w:basedOn w:val="1"/>
    <w:link w:val="192"/>
    <w:qFormat/>
    <w:uiPriority w:val="0"/>
    <w:rPr>
      <w:rFonts w:ascii="Courier New" w:hAnsi="Courier New"/>
      <w:lang w:val="nb-NO"/>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Date"/>
    <w:basedOn w:val="1"/>
    <w:next w:val="1"/>
    <w:link w:val="107"/>
    <w:qFormat/>
    <w:uiPriority w:val="0"/>
    <w:rPr>
      <w:lang w:eastAsia="en-GB"/>
    </w:rPr>
  </w:style>
  <w:style w:type="paragraph" w:styleId="37">
    <w:name w:val="Balloon Text"/>
    <w:basedOn w:val="1"/>
    <w:link w:val="106"/>
    <w:qFormat/>
    <w:uiPriority w:val="0"/>
    <w:rPr>
      <w:rFonts w:ascii="Tahoma" w:hAnsi="Tahoma" w:cs="Tahoma"/>
      <w:sz w:val="16"/>
      <w:szCs w:val="16"/>
      <w:lang w:eastAsia="en-GB"/>
    </w:rPr>
  </w:style>
  <w:style w:type="paragraph" w:styleId="38">
    <w:name w:val="footer"/>
    <w:basedOn w:val="39"/>
    <w:link w:val="189"/>
    <w:qFormat/>
    <w:uiPriority w:val="0"/>
    <w:pPr>
      <w:jc w:val="center"/>
    </w:pPr>
    <w:rPr>
      <w:i/>
    </w:rPr>
  </w:style>
  <w:style w:type="paragraph" w:styleId="39">
    <w:name w:val="header"/>
    <w:link w:val="18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Subtitle"/>
    <w:basedOn w:val="1"/>
    <w:next w:val="1"/>
    <w:link w:val="108"/>
    <w:qFormat/>
    <w:uiPriority w:val="0"/>
    <w:pPr>
      <w:jc w:val="center"/>
      <w:outlineLvl w:val="1"/>
    </w:pPr>
    <w:rPr>
      <w:rFonts w:ascii="Arial" w:hAnsi="Arial" w:eastAsia="MS Gothic"/>
      <w:sz w:val="24"/>
      <w:szCs w:val="24"/>
      <w:lang w:eastAsia="en-GB"/>
    </w:rPr>
  </w:style>
  <w:style w:type="paragraph" w:styleId="42">
    <w:name w:val="footnote text"/>
    <w:basedOn w:val="1"/>
    <w:link w:val="190"/>
    <w:semiHidden/>
    <w:qFormat/>
    <w:uiPriority w:val="0"/>
    <w:pPr>
      <w:keepLines/>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5"/>
    <w:next w:val="1"/>
    <w:qFormat/>
    <w:uiPriority w:val="39"/>
    <w:pPr>
      <w:ind w:left="1418" w:hanging="1418"/>
    </w:pPr>
  </w:style>
  <w:style w:type="paragraph" w:styleId="46">
    <w:name w:val="Normal (Web)"/>
    <w:basedOn w:val="1"/>
    <w:unhideWhenUsed/>
    <w:qFormat/>
    <w:uiPriority w:val="99"/>
    <w:pPr>
      <w:spacing w:before="100" w:beforeAutospacing="1" w:after="100" w:afterAutospacing="1"/>
    </w:pPr>
    <w:rPr>
      <w:sz w:val="24"/>
      <w:szCs w:val="24"/>
      <w:lang w:val="de-DE" w:eastAsia="ja-JP"/>
    </w:rPr>
  </w:style>
  <w:style w:type="paragraph" w:styleId="47">
    <w:name w:val="index 1"/>
    <w:basedOn w:val="1"/>
    <w:next w:val="1"/>
    <w:semiHidden/>
    <w:qFormat/>
    <w:uiPriority w:val="0"/>
    <w:pPr>
      <w:keepLines/>
    </w:pPr>
  </w:style>
  <w:style w:type="paragraph" w:styleId="48">
    <w:name w:val="index 2"/>
    <w:basedOn w:val="47"/>
    <w:next w:val="1"/>
    <w:semiHidden/>
    <w:qFormat/>
    <w:uiPriority w:val="0"/>
    <w:pPr>
      <w:ind w:left="284"/>
    </w:pPr>
  </w:style>
  <w:style w:type="paragraph" w:styleId="49">
    <w:name w:val="Title"/>
    <w:basedOn w:val="1"/>
    <w:next w:val="1"/>
    <w:link w:val="109"/>
    <w:qFormat/>
    <w:uiPriority w:val="0"/>
    <w:pPr>
      <w:spacing w:before="240" w:after="120"/>
      <w:jc w:val="center"/>
      <w:outlineLvl w:val="0"/>
    </w:pPr>
    <w:rPr>
      <w:rFonts w:ascii="Arial" w:hAnsi="Arial" w:eastAsia="MS Gothic"/>
      <w:sz w:val="32"/>
      <w:szCs w:val="32"/>
      <w:lang w:eastAsia="en-GB"/>
    </w:rPr>
  </w:style>
  <w:style w:type="paragraph" w:styleId="50">
    <w:name w:val="annotation subject"/>
    <w:basedOn w:val="30"/>
    <w:next w:val="30"/>
    <w:link w:val="105"/>
    <w:qFormat/>
    <w:uiPriority w:val="0"/>
    <w:rPr>
      <w:b/>
      <w:bCs/>
      <w:lang w:eastAsia="en-GB"/>
    </w:rPr>
  </w:style>
  <w:style w:type="character" w:styleId="53">
    <w:name w:val="Strong"/>
    <w:qFormat/>
    <w:uiPriority w:val="22"/>
    <w:rPr>
      <w:b/>
      <w:bCs/>
    </w:rPr>
  </w:style>
  <w:style w:type="character" w:styleId="54">
    <w:name w:val="page number"/>
    <w:basedOn w:val="52"/>
    <w:qFormat/>
    <w:uiPriority w:val="0"/>
  </w:style>
  <w:style w:type="character" w:styleId="55">
    <w:name w:val="FollowedHyperlink"/>
    <w:qFormat/>
    <w:uiPriority w:val="99"/>
    <w:rPr>
      <w:color w:val="800080"/>
      <w:u w:val="single"/>
    </w:rPr>
  </w:style>
  <w:style w:type="character" w:styleId="56">
    <w:name w:val="Emphasis"/>
    <w:qFormat/>
    <w:uiPriority w:val="0"/>
    <w:rPr>
      <w:b/>
      <w:bCs/>
    </w:rPr>
  </w:style>
  <w:style w:type="character" w:styleId="57">
    <w:name w:val="Hyperlink"/>
    <w:qFormat/>
    <w:uiPriority w:val="99"/>
    <w:rPr>
      <w:color w:val="0000FF"/>
      <w:u w:val="single"/>
    </w:rPr>
  </w:style>
  <w:style w:type="character" w:styleId="58">
    <w:name w:val="annotation reference"/>
    <w:semiHidden/>
    <w:qFormat/>
    <w:uiPriority w:val="0"/>
    <w:rPr>
      <w:sz w:val="16"/>
    </w:rPr>
  </w:style>
  <w:style w:type="character" w:styleId="59">
    <w:name w:val="footnote reference"/>
    <w:basedOn w:val="52"/>
    <w:semiHidden/>
    <w:qFormat/>
    <w:uiPriority w:val="0"/>
    <w:rPr>
      <w:b/>
      <w:position w:val="6"/>
      <w:sz w:val="16"/>
    </w:rPr>
  </w:style>
  <w:style w:type="character" w:customStyle="1" w:styleId="60">
    <w:name w:val="Heading 2 Char"/>
    <w:link w:val="3"/>
    <w:qFormat/>
    <w:uiPriority w:val="0"/>
    <w:rPr>
      <w:rFonts w:ascii="Arial" w:hAnsi="Arial"/>
      <w:sz w:val="32"/>
      <w:lang w:eastAsia="en-US"/>
    </w:rPr>
  </w:style>
  <w:style w:type="paragraph" w:customStyle="1" w:styleId="61">
    <w:name w:val="EQ"/>
    <w:basedOn w:val="1"/>
    <w:next w:val="1"/>
    <w:qFormat/>
    <w:uiPriority w:val="0"/>
    <w:pPr>
      <w:keepLines/>
      <w:tabs>
        <w:tab w:val="center" w:pos="4536"/>
        <w:tab w:val="right" w:pos="9072"/>
      </w:tabs>
    </w:pPr>
  </w:style>
  <w:style w:type="character" w:customStyle="1" w:styleId="62">
    <w:name w:val="ZGSM"/>
    <w:qFormat/>
    <w:uiPriority w:val="0"/>
  </w:style>
  <w:style w:type="paragraph" w:customStyle="1" w:styleId="6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64">
    <w:name w:val="TT"/>
    <w:basedOn w:val="2"/>
    <w:next w:val="1"/>
    <w:qFormat/>
    <w:uiPriority w:val="0"/>
    <w:pPr>
      <w:outlineLvl w:val="9"/>
    </w:pPr>
  </w:style>
  <w:style w:type="paragraph" w:customStyle="1" w:styleId="65">
    <w:name w:val="NF"/>
    <w:basedOn w:val="66"/>
    <w:qFormat/>
    <w:uiPriority w:val="0"/>
    <w:pPr>
      <w:keepNext/>
      <w:spacing w:after="0"/>
    </w:pPr>
    <w:rPr>
      <w:rFonts w:ascii="Arial" w:hAnsi="Arial"/>
      <w:sz w:val="18"/>
    </w:rPr>
  </w:style>
  <w:style w:type="paragraph" w:customStyle="1" w:styleId="66">
    <w:name w:val="NO"/>
    <w:basedOn w:val="1"/>
    <w:link w:val="67"/>
    <w:qFormat/>
    <w:uiPriority w:val="0"/>
    <w:pPr>
      <w:keepLines/>
      <w:ind w:left="1135" w:hanging="851"/>
    </w:pPr>
  </w:style>
  <w:style w:type="character" w:customStyle="1" w:styleId="67">
    <w:name w:val="NO Char"/>
    <w:link w:val="66"/>
    <w:qFormat/>
    <w:uiPriority w:val="0"/>
    <w:rPr>
      <w:lang w:eastAsia="en-US"/>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69">
    <w:name w:val="TAR"/>
    <w:basedOn w:val="70"/>
    <w:qFormat/>
    <w:uiPriority w:val="0"/>
    <w:pPr>
      <w:jc w:val="right"/>
    </w:pPr>
  </w:style>
  <w:style w:type="paragraph" w:customStyle="1" w:styleId="70">
    <w:name w:val="TAL"/>
    <w:basedOn w:val="1"/>
    <w:link w:val="71"/>
    <w:qFormat/>
    <w:uiPriority w:val="0"/>
    <w:pPr>
      <w:keepNext/>
      <w:keepLines/>
      <w:spacing w:after="0"/>
    </w:pPr>
    <w:rPr>
      <w:rFonts w:ascii="Arial" w:hAnsi="Arial"/>
      <w:sz w:val="18"/>
    </w:rPr>
  </w:style>
  <w:style w:type="character" w:customStyle="1" w:styleId="71">
    <w:name w:val="TAL Car"/>
    <w:link w:val="70"/>
    <w:qFormat/>
    <w:uiPriority w:val="0"/>
    <w:rPr>
      <w:rFonts w:ascii="Arial" w:hAnsi="Arial"/>
      <w:sz w:val="18"/>
      <w:lang w:eastAsia="en-US"/>
    </w:rPr>
  </w:style>
  <w:style w:type="paragraph" w:customStyle="1" w:styleId="72">
    <w:name w:val="TAH"/>
    <w:basedOn w:val="73"/>
    <w:link w:val="75"/>
    <w:qFormat/>
    <w:uiPriority w:val="99"/>
    <w:rPr>
      <w:b/>
    </w:rPr>
  </w:style>
  <w:style w:type="paragraph" w:customStyle="1" w:styleId="73">
    <w:name w:val="TAC"/>
    <w:basedOn w:val="70"/>
    <w:link w:val="74"/>
    <w:qFormat/>
    <w:uiPriority w:val="0"/>
    <w:pPr>
      <w:jc w:val="center"/>
    </w:pPr>
  </w:style>
  <w:style w:type="character" w:customStyle="1" w:styleId="74">
    <w:name w:val="TAC Char"/>
    <w:link w:val="73"/>
    <w:qFormat/>
    <w:uiPriority w:val="0"/>
    <w:rPr>
      <w:rFonts w:ascii="Arial" w:hAnsi="Arial"/>
      <w:sz w:val="18"/>
      <w:lang w:eastAsia="en-US"/>
    </w:rPr>
  </w:style>
  <w:style w:type="character" w:customStyle="1" w:styleId="75">
    <w:name w:val="TAH Car"/>
    <w:link w:val="72"/>
    <w:qFormat/>
    <w:uiPriority w:val="99"/>
    <w:rPr>
      <w:rFonts w:ascii="Arial" w:hAnsi="Arial"/>
      <w:b/>
      <w:sz w:val="18"/>
      <w:lang w:eastAsia="en-US"/>
    </w:rPr>
  </w:style>
  <w:style w:type="paragraph" w:customStyle="1" w:styleId="7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77">
    <w:name w:val="EX"/>
    <w:basedOn w:val="1"/>
    <w:link w:val="172"/>
    <w:qFormat/>
    <w:uiPriority w:val="0"/>
    <w:pPr>
      <w:keepLines/>
      <w:ind w:left="1702" w:hanging="1418"/>
    </w:pPr>
  </w:style>
  <w:style w:type="paragraph" w:customStyle="1" w:styleId="78">
    <w:name w:val="FP"/>
    <w:basedOn w:val="1"/>
    <w:qFormat/>
    <w:uiPriority w:val="0"/>
    <w:pPr>
      <w:spacing w:after="0"/>
    </w:pPr>
  </w:style>
  <w:style w:type="paragraph" w:customStyle="1" w:styleId="79">
    <w:name w:val="NW"/>
    <w:basedOn w:val="66"/>
    <w:qFormat/>
    <w:uiPriority w:val="0"/>
    <w:pPr>
      <w:spacing w:after="0"/>
    </w:pPr>
  </w:style>
  <w:style w:type="paragraph" w:customStyle="1" w:styleId="80">
    <w:name w:val="EW"/>
    <w:basedOn w:val="77"/>
    <w:qFormat/>
    <w:uiPriority w:val="0"/>
    <w:pPr>
      <w:spacing w:after="0"/>
    </w:pPr>
  </w:style>
  <w:style w:type="paragraph" w:customStyle="1" w:styleId="81">
    <w:name w:val="B1"/>
    <w:basedOn w:val="14"/>
    <w:link w:val="82"/>
    <w:qFormat/>
    <w:uiPriority w:val="0"/>
  </w:style>
  <w:style w:type="character" w:customStyle="1" w:styleId="82">
    <w:name w:val="B1 Char"/>
    <w:link w:val="81"/>
    <w:qFormat/>
    <w:uiPriority w:val="0"/>
    <w:rPr>
      <w:lang w:eastAsia="en-US"/>
    </w:rPr>
  </w:style>
  <w:style w:type="paragraph" w:customStyle="1" w:styleId="83">
    <w:name w:val="Editor's Note"/>
    <w:basedOn w:val="66"/>
    <w:link w:val="142"/>
    <w:qFormat/>
    <w:uiPriority w:val="0"/>
    <w:rPr>
      <w:color w:val="FF0000"/>
    </w:rPr>
  </w:style>
  <w:style w:type="paragraph" w:customStyle="1" w:styleId="84">
    <w:name w:val="TH"/>
    <w:basedOn w:val="1"/>
    <w:link w:val="85"/>
    <w:qFormat/>
    <w:uiPriority w:val="0"/>
    <w:pPr>
      <w:keepNext/>
      <w:keepLines/>
      <w:spacing w:before="60"/>
      <w:jc w:val="center"/>
    </w:pPr>
    <w:rPr>
      <w:rFonts w:ascii="Arial" w:hAnsi="Arial"/>
      <w:b/>
    </w:rPr>
  </w:style>
  <w:style w:type="character" w:customStyle="1" w:styleId="85">
    <w:name w:val="TH Char"/>
    <w:link w:val="84"/>
    <w:qFormat/>
    <w:uiPriority w:val="0"/>
    <w:rPr>
      <w:rFonts w:ascii="Arial" w:hAnsi="Arial"/>
      <w:b/>
      <w:lang w:eastAsia="en-US"/>
    </w:rPr>
  </w:style>
  <w:style w:type="paragraph" w:customStyle="1" w:styleId="8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8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8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90">
    <w:name w:val="TAN"/>
    <w:basedOn w:val="70"/>
    <w:link w:val="174"/>
    <w:qFormat/>
    <w:uiPriority w:val="0"/>
    <w:pPr>
      <w:ind w:left="851" w:hanging="851"/>
    </w:pPr>
  </w:style>
  <w:style w:type="paragraph" w:customStyle="1" w:styleId="9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92">
    <w:name w:val="TF"/>
    <w:basedOn w:val="84"/>
    <w:link w:val="93"/>
    <w:qFormat/>
    <w:uiPriority w:val="0"/>
    <w:pPr>
      <w:keepNext w:val="0"/>
      <w:spacing w:before="0" w:after="240"/>
    </w:pPr>
  </w:style>
  <w:style w:type="character" w:customStyle="1" w:styleId="93">
    <w:name w:val="TF Char"/>
    <w:link w:val="92"/>
    <w:qFormat/>
    <w:uiPriority w:val="0"/>
    <w:rPr>
      <w:rFonts w:ascii="Arial" w:hAnsi="Arial"/>
      <w:b/>
      <w:lang w:eastAsia="en-US"/>
    </w:rPr>
  </w:style>
  <w:style w:type="paragraph" w:customStyle="1" w:styleId="9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95">
    <w:name w:val="B2"/>
    <w:basedOn w:val="13"/>
    <w:link w:val="96"/>
    <w:qFormat/>
    <w:uiPriority w:val="0"/>
  </w:style>
  <w:style w:type="character" w:customStyle="1" w:styleId="96">
    <w:name w:val="B2 Char"/>
    <w:link w:val="95"/>
    <w:qFormat/>
    <w:uiPriority w:val="0"/>
    <w:rPr>
      <w:lang w:eastAsia="en-US"/>
    </w:rPr>
  </w:style>
  <w:style w:type="paragraph" w:customStyle="1" w:styleId="97">
    <w:name w:val="B3"/>
    <w:basedOn w:val="12"/>
    <w:qFormat/>
    <w:uiPriority w:val="0"/>
  </w:style>
  <w:style w:type="paragraph" w:customStyle="1" w:styleId="98">
    <w:name w:val="B4"/>
    <w:basedOn w:val="44"/>
    <w:qFormat/>
    <w:uiPriority w:val="0"/>
  </w:style>
  <w:style w:type="paragraph" w:customStyle="1" w:styleId="99">
    <w:name w:val="B5"/>
    <w:basedOn w:val="43"/>
    <w:qFormat/>
    <w:uiPriority w:val="0"/>
  </w:style>
  <w:style w:type="paragraph" w:customStyle="1" w:styleId="100">
    <w:name w:val="ZTD"/>
    <w:basedOn w:val="87"/>
    <w:qFormat/>
    <w:uiPriority w:val="0"/>
    <w:pPr>
      <w:framePr w:hRule="auto" w:y="852"/>
    </w:pPr>
    <w:rPr>
      <w:i w:val="0"/>
      <w:sz w:val="40"/>
    </w:rPr>
  </w:style>
  <w:style w:type="paragraph" w:customStyle="1" w:styleId="101">
    <w:name w:val="ZV"/>
    <w:basedOn w:val="89"/>
    <w:qFormat/>
    <w:uiPriority w:val="0"/>
    <w:pPr>
      <w:framePr w:y="16161"/>
    </w:pPr>
  </w:style>
  <w:style w:type="character" w:customStyle="1" w:styleId="102">
    <w:name w:val="Comment Text Char"/>
    <w:link w:val="30"/>
    <w:qFormat/>
    <w:uiPriority w:val="0"/>
    <w:rPr>
      <w:lang w:eastAsia="en-US"/>
    </w:rPr>
  </w:style>
  <w:style w:type="character" w:customStyle="1" w:styleId="103">
    <w:name w:val="apple-style-span"/>
    <w:basedOn w:val="52"/>
    <w:qFormat/>
    <w:uiPriority w:val="0"/>
  </w:style>
  <w:style w:type="character" w:customStyle="1" w:styleId="104">
    <w:name w:val="Body Text Indent Char"/>
    <w:link w:val="32"/>
    <w:qFormat/>
    <w:uiPriority w:val="0"/>
    <w:rPr>
      <w:b/>
      <w:bCs/>
    </w:rPr>
  </w:style>
  <w:style w:type="character" w:customStyle="1" w:styleId="105">
    <w:name w:val="Comment Subject Char"/>
    <w:basedOn w:val="102"/>
    <w:link w:val="50"/>
    <w:qFormat/>
    <w:uiPriority w:val="0"/>
    <w:rPr>
      <w:lang w:eastAsia="en-US"/>
    </w:rPr>
  </w:style>
  <w:style w:type="character" w:customStyle="1" w:styleId="106">
    <w:name w:val="Balloon Text Char"/>
    <w:link w:val="37"/>
    <w:qFormat/>
    <w:uiPriority w:val="0"/>
    <w:rPr>
      <w:rFonts w:ascii="Tahoma" w:hAnsi="Tahoma" w:cs="Tahoma"/>
      <w:sz w:val="16"/>
      <w:szCs w:val="16"/>
    </w:rPr>
  </w:style>
  <w:style w:type="character" w:customStyle="1" w:styleId="107">
    <w:name w:val="Date Char"/>
    <w:basedOn w:val="52"/>
    <w:link w:val="36"/>
    <w:qFormat/>
    <w:uiPriority w:val="0"/>
  </w:style>
  <w:style w:type="character" w:customStyle="1" w:styleId="108">
    <w:name w:val="Subtitle Char"/>
    <w:link w:val="41"/>
    <w:qFormat/>
    <w:uiPriority w:val="0"/>
    <w:rPr>
      <w:rFonts w:ascii="Arial" w:hAnsi="Arial" w:eastAsia="MS Gothic"/>
      <w:sz w:val="24"/>
      <w:szCs w:val="24"/>
    </w:rPr>
  </w:style>
  <w:style w:type="character" w:customStyle="1" w:styleId="109">
    <w:name w:val="Title Char"/>
    <w:link w:val="49"/>
    <w:qFormat/>
    <w:uiPriority w:val="0"/>
    <w:rPr>
      <w:rFonts w:ascii="Arial" w:hAnsi="Arial" w:eastAsia="MS Gothic"/>
      <w:sz w:val="32"/>
      <w:szCs w:val="32"/>
    </w:rPr>
  </w:style>
  <w:style w:type="character" w:customStyle="1" w:styleId="110">
    <w:name w:val="B1 Zchn"/>
    <w:qFormat/>
    <w:uiPriority w:val="0"/>
  </w:style>
  <w:style w:type="paragraph" w:customStyle="1" w:styleId="111">
    <w:name w:val="Revision"/>
    <w:hidden/>
    <w:semiHidden/>
    <w:qFormat/>
    <w:uiPriority w:val="99"/>
    <w:rPr>
      <w:rFonts w:ascii="Times New Roman" w:hAnsi="Times New Roman" w:eastAsia="Times New Roman" w:cs="Times New Roman"/>
      <w:lang w:val="en-GB" w:eastAsia="en-US" w:bidi="ar-SA"/>
    </w:rPr>
  </w:style>
  <w:style w:type="paragraph" w:styleId="112">
    <w:name w:val="List Paragraph"/>
    <w:basedOn w:val="1"/>
    <w:link w:val="113"/>
    <w:qFormat/>
    <w:uiPriority w:val="34"/>
    <w:pPr>
      <w:spacing w:after="0"/>
      <w:ind w:left="840" w:leftChars="400" w:hanging="1440"/>
    </w:pPr>
    <w:rPr>
      <w:rFonts w:ascii="Times" w:hAnsi="Times" w:eastAsia="Batang"/>
      <w:szCs w:val="24"/>
      <w:lang w:eastAsia="en-GB"/>
    </w:rPr>
  </w:style>
  <w:style w:type="character" w:customStyle="1" w:styleId="113">
    <w:name w:val="List Paragraph Char"/>
    <w:link w:val="112"/>
    <w:qFormat/>
    <w:uiPriority w:val="34"/>
    <w:rPr>
      <w:rFonts w:ascii="Times" w:hAnsi="Times" w:eastAsia="Batang"/>
      <w:szCs w:val="24"/>
    </w:rPr>
  </w:style>
  <w:style w:type="character" w:customStyle="1" w:styleId="114">
    <w:name w:val="B1 Char1"/>
    <w:qFormat/>
    <w:uiPriority w:val="0"/>
    <w:rPr>
      <w:rFonts w:eastAsia="Times New Roman"/>
    </w:rPr>
  </w:style>
  <w:style w:type="character" w:customStyle="1" w:styleId="115">
    <w:name w:val="B2 Char1"/>
    <w:qFormat/>
    <w:uiPriority w:val="0"/>
    <w:rPr>
      <w:rFonts w:eastAsia="Times New Roman"/>
    </w:rPr>
  </w:style>
  <w:style w:type="character" w:customStyle="1" w:styleId="116">
    <w:name w:val="Unresolved Mention"/>
    <w:basedOn w:val="52"/>
    <w:semiHidden/>
    <w:unhideWhenUsed/>
    <w:qFormat/>
    <w:uiPriority w:val="99"/>
    <w:rPr>
      <w:color w:val="605E5C"/>
      <w:shd w:val="clear" w:color="auto" w:fill="E1DFDD"/>
    </w:rPr>
  </w:style>
  <w:style w:type="character" w:customStyle="1" w:styleId="117">
    <w:name w:val="NO Zchn"/>
    <w:qFormat/>
    <w:locked/>
    <w:uiPriority w:val="0"/>
    <w:rPr>
      <w:rFonts w:eastAsia="Times New Roman"/>
    </w:rPr>
  </w:style>
  <w:style w:type="paragraph" w:customStyle="1" w:styleId="118">
    <w:name w:val="FL"/>
    <w:basedOn w:val="1"/>
    <w:qFormat/>
    <w:uiPriority w:val="0"/>
    <w:pPr>
      <w:keepNext/>
      <w:keepLines/>
      <w:spacing w:before="60"/>
      <w:jc w:val="center"/>
    </w:pPr>
    <w:rPr>
      <w:rFonts w:ascii="Arial" w:hAnsi="Arial"/>
      <w:b/>
    </w:rPr>
  </w:style>
  <w:style w:type="paragraph" w:customStyle="1" w:styleId="119">
    <w:name w:val="B1+"/>
    <w:basedOn w:val="81"/>
    <w:link w:val="120"/>
    <w:qFormat/>
    <w:uiPriority w:val="0"/>
    <w:pPr>
      <w:numPr>
        <w:ilvl w:val="0"/>
        <w:numId w:val="1"/>
      </w:numPr>
    </w:pPr>
  </w:style>
  <w:style w:type="character" w:customStyle="1" w:styleId="120">
    <w:name w:val="B1+ Car"/>
    <w:link w:val="119"/>
    <w:qFormat/>
    <w:uiPriority w:val="0"/>
    <w:rPr>
      <w:lang w:eastAsia="en-US"/>
    </w:rPr>
  </w:style>
  <w:style w:type="paragraph" w:customStyle="1" w:styleId="121">
    <w:name w:val="INDENT1"/>
    <w:basedOn w:val="1"/>
    <w:qFormat/>
    <w:uiPriority w:val="0"/>
    <w:pPr>
      <w:overflowPunct/>
      <w:autoSpaceDE/>
      <w:autoSpaceDN/>
      <w:adjustRightInd/>
      <w:ind w:left="851"/>
      <w:textAlignment w:val="auto"/>
    </w:pPr>
    <w:rPr>
      <w:rFonts w:eastAsiaTheme="minorEastAsia"/>
    </w:rPr>
  </w:style>
  <w:style w:type="paragraph" w:customStyle="1" w:styleId="122">
    <w:name w:val="INDENT2"/>
    <w:basedOn w:val="1"/>
    <w:qFormat/>
    <w:uiPriority w:val="0"/>
    <w:pPr>
      <w:overflowPunct/>
      <w:autoSpaceDE/>
      <w:autoSpaceDN/>
      <w:adjustRightInd/>
      <w:ind w:left="1135" w:hanging="284"/>
      <w:textAlignment w:val="auto"/>
    </w:pPr>
    <w:rPr>
      <w:rFonts w:eastAsiaTheme="minorEastAsia"/>
    </w:rPr>
  </w:style>
  <w:style w:type="paragraph" w:customStyle="1" w:styleId="123">
    <w:name w:val="INDENT3"/>
    <w:basedOn w:val="1"/>
    <w:qFormat/>
    <w:uiPriority w:val="0"/>
    <w:pPr>
      <w:overflowPunct/>
      <w:autoSpaceDE/>
      <w:autoSpaceDN/>
      <w:adjustRightInd/>
      <w:ind w:left="1701" w:hanging="567"/>
      <w:textAlignment w:val="auto"/>
    </w:pPr>
    <w:rPr>
      <w:rFonts w:eastAsiaTheme="minorEastAsia"/>
    </w:rPr>
  </w:style>
  <w:style w:type="paragraph" w:customStyle="1" w:styleId="124">
    <w:name w:val="Figure_Title"/>
    <w:basedOn w:val="1"/>
    <w:next w:val="1"/>
    <w:qFormat/>
    <w:uiPriority w:val="0"/>
    <w:pPr>
      <w:keepLines/>
      <w:tabs>
        <w:tab w:val="left" w:pos="794"/>
        <w:tab w:val="left" w:pos="1191"/>
        <w:tab w:val="left" w:pos="1588"/>
        <w:tab w:val="left" w:pos="1985"/>
      </w:tabs>
      <w:overflowPunct/>
      <w:autoSpaceDE/>
      <w:autoSpaceDN/>
      <w:adjustRightInd/>
      <w:spacing w:before="120" w:after="480"/>
      <w:jc w:val="center"/>
      <w:textAlignment w:val="auto"/>
    </w:pPr>
    <w:rPr>
      <w:rFonts w:eastAsiaTheme="minorEastAsia"/>
      <w:b/>
      <w:sz w:val="24"/>
    </w:rPr>
  </w:style>
  <w:style w:type="paragraph" w:customStyle="1" w:styleId="125">
    <w:name w:val="Rec_CCITT_#"/>
    <w:basedOn w:val="1"/>
    <w:qFormat/>
    <w:uiPriority w:val="0"/>
    <w:pPr>
      <w:keepNext/>
      <w:keepLines/>
      <w:overflowPunct/>
      <w:autoSpaceDE/>
      <w:autoSpaceDN/>
      <w:adjustRightInd/>
      <w:textAlignment w:val="auto"/>
    </w:pPr>
    <w:rPr>
      <w:rFonts w:eastAsiaTheme="minorEastAsia"/>
      <w:b/>
    </w:rPr>
  </w:style>
  <w:style w:type="paragraph" w:customStyle="1" w:styleId="126">
    <w:name w:val="enumlev2"/>
    <w:basedOn w:val="1"/>
    <w:qFormat/>
    <w:uiPriority w:val="0"/>
    <w:pPr>
      <w:tabs>
        <w:tab w:val="left" w:pos="794"/>
        <w:tab w:val="left" w:pos="1191"/>
        <w:tab w:val="left" w:pos="1588"/>
        <w:tab w:val="left" w:pos="1985"/>
      </w:tabs>
      <w:overflowPunct/>
      <w:autoSpaceDE/>
      <w:autoSpaceDN/>
      <w:adjustRightInd/>
      <w:spacing w:before="86"/>
      <w:ind w:left="1588" w:hanging="397"/>
      <w:jc w:val="both"/>
      <w:textAlignment w:val="auto"/>
    </w:pPr>
    <w:rPr>
      <w:rFonts w:eastAsiaTheme="minorEastAsia"/>
      <w:lang w:val="en-US"/>
    </w:rPr>
  </w:style>
  <w:style w:type="paragraph" w:customStyle="1" w:styleId="127">
    <w:name w:val="Couv Rec Title"/>
    <w:basedOn w:val="1"/>
    <w:qFormat/>
    <w:uiPriority w:val="0"/>
    <w:pPr>
      <w:keepNext/>
      <w:keepLines/>
      <w:overflowPunct/>
      <w:autoSpaceDE/>
      <w:autoSpaceDN/>
      <w:adjustRightInd/>
      <w:spacing w:before="240"/>
      <w:ind w:left="1418"/>
      <w:textAlignment w:val="auto"/>
    </w:pPr>
    <w:rPr>
      <w:rFonts w:ascii="Arial" w:hAnsi="Arial" w:eastAsiaTheme="minorEastAsia"/>
      <w:b/>
      <w:sz w:val="36"/>
      <w:lang w:val="en-US"/>
    </w:rPr>
  </w:style>
  <w:style w:type="paragraph" w:customStyle="1" w:styleId="128">
    <w:name w:val="TAJ"/>
    <w:basedOn w:val="84"/>
    <w:qFormat/>
    <w:uiPriority w:val="0"/>
    <w:pPr>
      <w:overflowPunct/>
      <w:autoSpaceDE/>
      <w:autoSpaceDN/>
      <w:adjustRightInd/>
      <w:textAlignment w:val="auto"/>
    </w:pPr>
    <w:rPr>
      <w:rFonts w:eastAsiaTheme="minorEastAsia"/>
      <w:lang w:val="zh-CN"/>
    </w:rPr>
  </w:style>
  <w:style w:type="paragraph" w:customStyle="1" w:styleId="129">
    <w:name w:val="Guidance"/>
    <w:basedOn w:val="1"/>
    <w:qFormat/>
    <w:uiPriority w:val="0"/>
    <w:pPr>
      <w:overflowPunct/>
      <w:autoSpaceDE/>
      <w:autoSpaceDN/>
      <w:adjustRightInd/>
      <w:textAlignment w:val="auto"/>
    </w:pPr>
    <w:rPr>
      <w:rFonts w:eastAsiaTheme="minorEastAsia"/>
      <w:i/>
      <w:color w:val="0000FF"/>
    </w:rPr>
  </w:style>
  <w:style w:type="paragraph" w:customStyle="1" w:styleId="130">
    <w:name w:val="Heading"/>
    <w:basedOn w:val="1"/>
    <w:link w:val="131"/>
    <w:qFormat/>
    <w:uiPriority w:val="0"/>
    <w:pPr>
      <w:widowControl w:val="0"/>
      <w:spacing w:after="120" w:line="240" w:lineRule="atLeast"/>
      <w:ind w:left="1260" w:hanging="551"/>
    </w:pPr>
    <w:rPr>
      <w:rFonts w:ascii="Arial" w:hAnsi="Arial" w:eastAsiaTheme="minorEastAsia"/>
      <w:b/>
      <w:sz w:val="22"/>
      <w:lang w:val="zh-CN" w:eastAsia="zh-CN"/>
    </w:rPr>
  </w:style>
  <w:style w:type="character" w:customStyle="1" w:styleId="131">
    <w:name w:val="Heading Car"/>
    <w:link w:val="130"/>
    <w:qFormat/>
    <w:uiPriority w:val="0"/>
    <w:rPr>
      <w:rFonts w:ascii="Arial" w:hAnsi="Arial" w:eastAsiaTheme="minorEastAsia"/>
      <w:b/>
      <w:sz w:val="22"/>
      <w:lang w:val="zh-CN" w:eastAsia="zh-CN"/>
    </w:rPr>
  </w:style>
  <w:style w:type="paragraph" w:customStyle="1" w:styleId="132">
    <w:name w:val="B-Body"/>
    <w:link w:val="133"/>
    <w:qFormat/>
    <w:uiPriority w:val="0"/>
    <w:pPr>
      <w:tabs>
        <w:tab w:val="left" w:pos="2160"/>
      </w:tabs>
      <w:spacing w:before="120" w:after="40"/>
      <w:ind w:left="720"/>
    </w:pPr>
    <w:rPr>
      <w:rFonts w:ascii="Times New Roman" w:hAnsi="Times New Roman" w:cs="Times New Roman" w:eastAsiaTheme="minorEastAsia"/>
      <w:sz w:val="22"/>
      <w:lang w:val="en-US" w:eastAsia="en-US" w:bidi="ar-SA"/>
    </w:rPr>
  </w:style>
  <w:style w:type="character" w:customStyle="1" w:styleId="133">
    <w:name w:val="B-Body Char"/>
    <w:link w:val="132"/>
    <w:qFormat/>
    <w:uiPriority w:val="0"/>
    <w:rPr>
      <w:rFonts w:eastAsiaTheme="minorEastAsia"/>
      <w:sz w:val="22"/>
      <w:lang w:val="en-US" w:eastAsia="en-US"/>
    </w:rPr>
  </w:style>
  <w:style w:type="paragraph" w:customStyle="1" w:styleId="134">
    <w:name w:val="normal puce"/>
    <w:basedOn w:val="1"/>
    <w:qFormat/>
    <w:uiPriority w:val="0"/>
    <w:pPr>
      <w:tabs>
        <w:tab w:val="left" w:pos="360"/>
      </w:tabs>
      <w:ind w:left="360" w:hanging="360"/>
    </w:pPr>
    <w:rPr>
      <w:rFonts w:eastAsiaTheme="minorEastAsia"/>
      <w:lang w:eastAsia="en-GB"/>
    </w:rPr>
  </w:style>
  <w:style w:type="paragraph" w:customStyle="1" w:styleId="135">
    <w:name w:val="Proposal"/>
    <w:basedOn w:val="1"/>
    <w:qFormat/>
    <w:uiPriority w:val="0"/>
    <w:pPr>
      <w:numPr>
        <w:ilvl w:val="0"/>
        <w:numId w:val="2"/>
      </w:numPr>
      <w:tabs>
        <w:tab w:val="left" w:pos="1701"/>
        <w:tab w:val="clear" w:pos="1304"/>
      </w:tabs>
      <w:spacing w:after="120"/>
      <w:ind w:left="1701" w:hanging="1701"/>
      <w:jc w:val="both"/>
    </w:pPr>
    <w:rPr>
      <w:rFonts w:ascii="Arial" w:hAnsi="Arial" w:eastAsiaTheme="minorEastAsia"/>
      <w:b/>
      <w:bCs/>
      <w:lang w:eastAsia="zh-CN"/>
    </w:rPr>
  </w:style>
  <w:style w:type="paragraph" w:customStyle="1" w:styleId="136">
    <w:name w:val="11 BodyText"/>
    <w:basedOn w:val="1"/>
    <w:link w:val="137"/>
    <w:qFormat/>
    <w:uiPriority w:val="0"/>
    <w:pPr>
      <w:overflowPunct/>
      <w:autoSpaceDE/>
      <w:autoSpaceDN/>
      <w:adjustRightInd/>
      <w:spacing w:after="220"/>
      <w:ind w:left="1298"/>
      <w:jc w:val="both"/>
      <w:textAlignment w:val="auto"/>
    </w:pPr>
    <w:rPr>
      <w:rFonts w:ascii="Verdana" w:hAnsi="Verdana" w:eastAsiaTheme="minorEastAsia"/>
      <w:lang w:val="zh-CN" w:eastAsia="zh-CN"/>
    </w:rPr>
  </w:style>
  <w:style w:type="character" w:customStyle="1" w:styleId="137">
    <w:name w:val="11 BodyText Char"/>
    <w:link w:val="136"/>
    <w:qFormat/>
    <w:uiPriority w:val="0"/>
    <w:rPr>
      <w:rFonts w:ascii="Verdana" w:hAnsi="Verdana" w:eastAsiaTheme="minorEastAsia"/>
      <w:lang w:val="zh-CN" w:eastAsia="zh-CN"/>
    </w:rPr>
  </w:style>
  <w:style w:type="paragraph" w:customStyle="1" w:styleId="138">
    <w:name w:val="参考文献"/>
    <w:basedOn w:val="1"/>
    <w:qFormat/>
    <w:uiPriority w:val="0"/>
    <w:pPr>
      <w:keepLines/>
      <w:numPr>
        <w:ilvl w:val="0"/>
        <w:numId w:val="3"/>
      </w:numPr>
      <w:overflowPunct/>
      <w:autoSpaceDE/>
      <w:autoSpaceDN/>
      <w:adjustRightInd/>
      <w:spacing w:after="0"/>
      <w:textAlignment w:val="auto"/>
    </w:pPr>
    <w:rPr>
      <w:rFonts w:eastAsia="MS Mincho"/>
      <w:lang w:eastAsia="en-GB"/>
    </w:rPr>
  </w:style>
  <w:style w:type="paragraph" w:customStyle="1" w:styleId="139">
    <w:name w:val="TAL Char Char"/>
    <w:basedOn w:val="1"/>
    <w:link w:val="140"/>
    <w:qFormat/>
    <w:uiPriority w:val="0"/>
    <w:pPr>
      <w:keepNext/>
      <w:keepLines/>
      <w:spacing w:after="0"/>
    </w:pPr>
    <w:rPr>
      <w:rFonts w:ascii="Arial" w:hAnsi="Arial" w:eastAsia="宋体"/>
      <w:sz w:val="18"/>
      <w:lang w:eastAsia="ja-JP"/>
    </w:rPr>
  </w:style>
  <w:style w:type="character" w:customStyle="1" w:styleId="140">
    <w:name w:val="TAL Char Char Char"/>
    <w:link w:val="139"/>
    <w:qFormat/>
    <w:uiPriority w:val="0"/>
    <w:rPr>
      <w:rFonts w:ascii="Arial" w:hAnsi="Arial" w:eastAsia="宋体"/>
      <w:sz w:val="18"/>
      <w:lang w:eastAsia="ja-JP"/>
    </w:rPr>
  </w:style>
  <w:style w:type="paragraph" w:customStyle="1" w:styleId="141">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eastAsia="en-GB"/>
    </w:rPr>
  </w:style>
  <w:style w:type="character" w:customStyle="1" w:styleId="142">
    <w:name w:val="Editor's Note Char"/>
    <w:link w:val="83"/>
    <w:qFormat/>
    <w:locked/>
    <w:uiPriority w:val="0"/>
    <w:rPr>
      <w:color w:val="FF0000"/>
      <w:lang w:eastAsia="en-US"/>
    </w:rPr>
  </w:style>
  <w:style w:type="paragraph" w:customStyle="1" w:styleId="143">
    <w:name w:val="msonormal"/>
    <w:basedOn w:val="1"/>
    <w:qFormat/>
    <w:uiPriority w:val="0"/>
    <w:pPr>
      <w:overflowPunct/>
      <w:autoSpaceDE/>
      <w:autoSpaceDN/>
      <w:adjustRightInd/>
      <w:spacing w:before="100" w:beforeAutospacing="1" w:after="100" w:afterAutospacing="1"/>
      <w:textAlignment w:val="auto"/>
    </w:pPr>
    <w:rPr>
      <w:sz w:val="24"/>
      <w:szCs w:val="24"/>
      <w:lang w:eastAsia="en-GB"/>
    </w:rPr>
  </w:style>
  <w:style w:type="paragraph" w:customStyle="1" w:styleId="144">
    <w:name w:val="xl65"/>
    <w:basedOn w:val="1"/>
    <w:qFormat/>
    <w:uiPriority w:val="0"/>
    <w:pPr>
      <w:overflowPunct/>
      <w:autoSpaceDE/>
      <w:autoSpaceDN/>
      <w:adjustRightInd/>
      <w:spacing w:before="100" w:beforeAutospacing="1" w:after="100" w:afterAutospacing="1"/>
      <w:textAlignment w:val="top"/>
    </w:pPr>
    <w:rPr>
      <w:rFonts w:ascii="Arial" w:hAnsi="Arial" w:cs="Arial"/>
      <w:sz w:val="24"/>
      <w:szCs w:val="24"/>
      <w:lang w:eastAsia="en-GB"/>
    </w:rPr>
  </w:style>
  <w:style w:type="paragraph" w:customStyle="1" w:styleId="145">
    <w:name w:val="xl66"/>
    <w:basedOn w:val="1"/>
    <w:qFormat/>
    <w:uiPriority w:val="0"/>
    <w:pPr>
      <w:overflowPunct/>
      <w:autoSpaceDE/>
      <w:autoSpaceDN/>
      <w:adjustRightInd/>
      <w:spacing w:before="100" w:beforeAutospacing="1" w:after="100" w:afterAutospacing="1"/>
      <w:textAlignment w:val="top"/>
    </w:pPr>
    <w:rPr>
      <w:rFonts w:ascii="Arial" w:hAnsi="Arial" w:cs="Arial"/>
      <w:b/>
      <w:bCs/>
      <w:color w:val="FF0000"/>
      <w:sz w:val="24"/>
      <w:szCs w:val="24"/>
      <w:lang w:eastAsia="en-GB"/>
    </w:rPr>
  </w:style>
  <w:style w:type="paragraph" w:customStyle="1" w:styleId="146">
    <w:name w:val="xl67"/>
    <w:basedOn w:val="1"/>
    <w:qFormat/>
    <w:uiPriority w:val="0"/>
    <w:pPr>
      <w:overflowPunct/>
      <w:autoSpaceDE/>
      <w:autoSpaceDN/>
      <w:adjustRightInd/>
      <w:spacing w:before="100" w:beforeAutospacing="1" w:after="100" w:afterAutospacing="1"/>
      <w:textAlignment w:val="top"/>
    </w:pPr>
    <w:rPr>
      <w:rFonts w:ascii="Arial" w:hAnsi="Arial" w:cs="Arial"/>
      <w:i/>
      <w:iCs/>
      <w:sz w:val="24"/>
      <w:szCs w:val="24"/>
      <w:lang w:eastAsia="en-GB"/>
    </w:rPr>
  </w:style>
  <w:style w:type="paragraph" w:customStyle="1" w:styleId="147">
    <w:name w:val="xl68"/>
    <w:basedOn w:val="1"/>
    <w:qFormat/>
    <w:uiPriority w:val="0"/>
    <w:pPr>
      <w:overflowPunct/>
      <w:autoSpaceDE/>
      <w:autoSpaceDN/>
      <w:adjustRightInd/>
      <w:spacing w:before="100" w:beforeAutospacing="1" w:after="100" w:afterAutospacing="1"/>
      <w:textAlignment w:val="top"/>
    </w:pPr>
    <w:rPr>
      <w:sz w:val="14"/>
      <w:szCs w:val="14"/>
      <w:lang w:eastAsia="en-GB"/>
    </w:rPr>
  </w:style>
  <w:style w:type="paragraph" w:customStyle="1" w:styleId="148">
    <w:name w:val="xl69"/>
    <w:basedOn w:val="1"/>
    <w:qFormat/>
    <w:uiPriority w:val="0"/>
    <w:pPr>
      <w:overflowPunct/>
      <w:autoSpaceDE/>
      <w:autoSpaceDN/>
      <w:adjustRightInd/>
      <w:spacing w:before="100" w:beforeAutospacing="1" w:after="100" w:afterAutospacing="1"/>
      <w:textAlignment w:val="top"/>
    </w:pPr>
    <w:rPr>
      <w:b/>
      <w:bCs/>
      <w:color w:val="FF0000"/>
      <w:sz w:val="14"/>
      <w:szCs w:val="14"/>
      <w:lang w:eastAsia="en-GB"/>
    </w:rPr>
  </w:style>
  <w:style w:type="paragraph" w:customStyle="1" w:styleId="149">
    <w:name w:val="xl70"/>
    <w:basedOn w:val="1"/>
    <w:qFormat/>
    <w:uiPriority w:val="0"/>
    <w:pPr>
      <w:shd w:val="clear" w:color="000000" w:fill="FFFF00"/>
      <w:overflowPunct/>
      <w:autoSpaceDE/>
      <w:autoSpaceDN/>
      <w:adjustRightInd/>
      <w:spacing w:before="100" w:beforeAutospacing="1" w:after="100" w:afterAutospacing="1"/>
      <w:textAlignment w:val="top"/>
    </w:pPr>
    <w:rPr>
      <w:rFonts w:ascii="Arial" w:hAnsi="Arial" w:cs="Arial"/>
      <w:sz w:val="24"/>
      <w:szCs w:val="24"/>
      <w:lang w:eastAsia="en-GB"/>
    </w:rPr>
  </w:style>
  <w:style w:type="paragraph" w:customStyle="1" w:styleId="150">
    <w:name w:val="xl71"/>
    <w:basedOn w:val="1"/>
    <w:qFormat/>
    <w:uiPriority w:val="0"/>
    <w:pPr>
      <w:shd w:val="clear" w:color="000000" w:fill="FFFF00"/>
      <w:overflowPunct/>
      <w:autoSpaceDE/>
      <w:autoSpaceDN/>
      <w:adjustRightInd/>
      <w:spacing w:before="100" w:beforeAutospacing="1" w:after="100" w:afterAutospacing="1"/>
      <w:textAlignment w:val="top"/>
    </w:pPr>
    <w:rPr>
      <w:sz w:val="14"/>
      <w:szCs w:val="14"/>
      <w:lang w:eastAsia="en-GB"/>
    </w:rPr>
  </w:style>
  <w:style w:type="paragraph" w:customStyle="1" w:styleId="151">
    <w:name w:val="xl72"/>
    <w:basedOn w:val="1"/>
    <w:qFormat/>
    <w:uiPriority w:val="0"/>
    <w:pPr>
      <w:shd w:val="clear" w:color="000000" w:fill="FFFF00"/>
      <w:overflowPunct/>
      <w:autoSpaceDE/>
      <w:autoSpaceDN/>
      <w:adjustRightInd/>
      <w:spacing w:before="100" w:beforeAutospacing="1" w:after="100" w:afterAutospacing="1"/>
      <w:textAlignment w:val="top"/>
    </w:pPr>
    <w:rPr>
      <w:b/>
      <w:bCs/>
      <w:color w:val="FF0000"/>
      <w:sz w:val="14"/>
      <w:szCs w:val="14"/>
      <w:lang w:eastAsia="en-GB"/>
    </w:rPr>
  </w:style>
  <w:style w:type="paragraph" w:customStyle="1" w:styleId="152">
    <w:name w:val="xl73"/>
    <w:basedOn w:val="1"/>
    <w:qFormat/>
    <w:uiPriority w:val="0"/>
    <w:pPr>
      <w:pBdr>
        <w:top w:val="single" w:color="B1BBCC" w:sz="4" w:space="0"/>
        <w:left w:val="single" w:color="B1BBCC" w:sz="4" w:space="0"/>
        <w:bottom w:val="single" w:color="B1BBCC" w:sz="4" w:space="0"/>
        <w:right w:val="single" w:color="B1BBCC" w:sz="4" w:space="0"/>
      </w:pBdr>
      <w:overflowPunct/>
      <w:autoSpaceDE/>
      <w:autoSpaceDN/>
      <w:adjustRightInd/>
      <w:spacing w:before="100" w:beforeAutospacing="1" w:after="100" w:afterAutospacing="1"/>
      <w:textAlignment w:val="top"/>
    </w:pPr>
    <w:rPr>
      <w:rFonts w:ascii="Arial" w:hAnsi="Arial" w:cs="Arial"/>
      <w:color w:val="000000"/>
      <w:sz w:val="16"/>
      <w:szCs w:val="16"/>
      <w:lang w:eastAsia="en-GB"/>
    </w:rPr>
  </w:style>
  <w:style w:type="paragraph" w:customStyle="1" w:styleId="153">
    <w:name w:val="xl74"/>
    <w:basedOn w:val="1"/>
    <w:qFormat/>
    <w:uiPriority w:val="0"/>
    <w:pPr>
      <w:pBdr>
        <w:top w:val="single" w:color="B1BBCC" w:sz="4" w:space="0"/>
        <w:left w:val="single" w:color="B1BBCC" w:sz="4" w:space="0"/>
        <w:bottom w:val="single" w:color="B1BBCC" w:sz="4" w:space="0"/>
        <w:right w:val="single" w:color="B1BBCC" w:sz="4" w:space="0"/>
      </w:pBdr>
      <w:overflowPunct/>
      <w:autoSpaceDE/>
      <w:autoSpaceDN/>
      <w:adjustRightInd/>
      <w:spacing w:before="100" w:beforeAutospacing="1" w:after="100" w:afterAutospacing="1"/>
      <w:textAlignment w:val="top"/>
    </w:pPr>
    <w:rPr>
      <w:rFonts w:ascii="Arial" w:hAnsi="Arial" w:cs="Arial"/>
      <w:b/>
      <w:bCs/>
      <w:color w:val="FF0000"/>
      <w:sz w:val="24"/>
      <w:szCs w:val="24"/>
      <w:lang w:eastAsia="en-GB"/>
    </w:rPr>
  </w:style>
  <w:style w:type="paragraph" w:customStyle="1" w:styleId="154">
    <w:name w:val="xl75"/>
    <w:basedOn w:val="1"/>
    <w:qFormat/>
    <w:uiPriority w:val="0"/>
    <w:pPr>
      <w:pBdr>
        <w:top w:val="single" w:color="B1BBCC" w:sz="4" w:space="0"/>
        <w:left w:val="single" w:color="B1BBCC" w:sz="4" w:space="0"/>
        <w:bottom w:val="single" w:color="B1BBCC" w:sz="4" w:space="0"/>
        <w:right w:val="single" w:color="B1BBCC" w:sz="4" w:space="0"/>
      </w:pBdr>
      <w:overflowPunct/>
      <w:autoSpaceDE/>
      <w:autoSpaceDN/>
      <w:adjustRightInd/>
      <w:spacing w:before="100" w:beforeAutospacing="1" w:after="100" w:afterAutospacing="1"/>
      <w:textAlignment w:val="top"/>
    </w:pPr>
    <w:rPr>
      <w:rFonts w:ascii="Arial" w:hAnsi="Arial" w:cs="Arial"/>
      <w:sz w:val="16"/>
      <w:szCs w:val="16"/>
      <w:lang w:eastAsia="en-GB"/>
    </w:rPr>
  </w:style>
  <w:style w:type="paragraph" w:customStyle="1" w:styleId="155">
    <w:name w:val="xl76"/>
    <w:basedOn w:val="1"/>
    <w:qFormat/>
    <w:uiPriority w:val="0"/>
    <w:pPr>
      <w:pBdr>
        <w:top w:val="single" w:color="B1BBCC" w:sz="4" w:space="0"/>
        <w:left w:val="single" w:color="B1BBCC" w:sz="4" w:space="0"/>
        <w:bottom w:val="single" w:color="B1BBCC" w:sz="4" w:space="0"/>
        <w:right w:val="single" w:color="B1BBCC" w:sz="4" w:space="0"/>
      </w:pBdr>
      <w:overflowPunct/>
      <w:autoSpaceDE/>
      <w:autoSpaceDN/>
      <w:adjustRightInd/>
      <w:spacing w:before="100" w:beforeAutospacing="1" w:after="100" w:afterAutospacing="1"/>
      <w:textAlignment w:val="top"/>
    </w:pPr>
    <w:rPr>
      <w:color w:val="0563C1"/>
      <w:sz w:val="24"/>
      <w:szCs w:val="24"/>
      <w:u w:val="single"/>
      <w:lang w:eastAsia="en-GB"/>
    </w:rPr>
  </w:style>
  <w:style w:type="paragraph" w:customStyle="1" w:styleId="156">
    <w:name w:val="xl77"/>
    <w:basedOn w:val="1"/>
    <w:qFormat/>
    <w:uiPriority w:val="0"/>
    <w:pPr>
      <w:pBdr>
        <w:top w:val="single" w:color="B1BBCC" w:sz="4" w:space="0"/>
        <w:left w:val="single" w:color="B1BBCC" w:sz="4" w:space="0"/>
        <w:bottom w:val="single" w:color="B1BBCC" w:sz="4" w:space="0"/>
        <w:right w:val="single" w:color="B1BBCC" w:sz="4" w:space="0"/>
      </w:pBdr>
      <w:overflowPunct/>
      <w:autoSpaceDE/>
      <w:autoSpaceDN/>
      <w:adjustRightInd/>
      <w:spacing w:before="100" w:beforeAutospacing="1" w:after="100" w:afterAutospacing="1"/>
      <w:textAlignment w:val="top"/>
    </w:pPr>
    <w:rPr>
      <w:rFonts w:ascii="Arial" w:hAnsi="Arial" w:cs="Arial"/>
      <w:b/>
      <w:bCs/>
      <w:color w:val="000000"/>
      <w:sz w:val="16"/>
      <w:szCs w:val="16"/>
      <w:lang w:eastAsia="en-GB"/>
    </w:rPr>
  </w:style>
  <w:style w:type="paragraph" w:customStyle="1" w:styleId="157">
    <w:name w:val="xl78"/>
    <w:basedOn w:val="1"/>
    <w:uiPriority w:val="0"/>
    <w:pPr>
      <w:pBdr>
        <w:top w:val="single" w:color="B1BBCC" w:sz="4" w:space="0"/>
        <w:left w:val="single" w:color="B1BBCC" w:sz="4" w:space="0"/>
        <w:bottom w:val="single" w:color="B1BBCC" w:sz="4" w:space="0"/>
        <w:right w:val="single" w:color="B1BBCC" w:sz="4" w:space="0"/>
      </w:pBdr>
      <w:overflowPunct/>
      <w:autoSpaceDE/>
      <w:autoSpaceDN/>
      <w:adjustRightInd/>
      <w:spacing w:before="100" w:beforeAutospacing="1" w:after="100" w:afterAutospacing="1"/>
      <w:textAlignment w:val="top"/>
    </w:pPr>
    <w:rPr>
      <w:rFonts w:ascii="Arial" w:hAnsi="Arial" w:cs="Arial"/>
      <w:b/>
      <w:bCs/>
      <w:color w:val="0000FF"/>
      <w:sz w:val="24"/>
      <w:szCs w:val="24"/>
      <w:lang w:eastAsia="en-GB"/>
    </w:rPr>
  </w:style>
  <w:style w:type="paragraph" w:customStyle="1" w:styleId="158">
    <w:name w:val="xl79"/>
    <w:basedOn w:val="1"/>
    <w:qFormat/>
    <w:uiPriority w:val="0"/>
    <w:pPr>
      <w:pBdr>
        <w:top w:val="single" w:color="B1BBCC" w:sz="4" w:space="0"/>
        <w:left w:val="single" w:color="B1BBCC" w:sz="4" w:space="0"/>
        <w:bottom w:val="single" w:color="B1BBCC" w:sz="4" w:space="0"/>
        <w:right w:val="single" w:color="B1BBCC" w:sz="4" w:space="0"/>
      </w:pBdr>
      <w:overflowPunct/>
      <w:autoSpaceDE/>
      <w:autoSpaceDN/>
      <w:adjustRightInd/>
      <w:spacing w:before="100" w:beforeAutospacing="1" w:after="100" w:afterAutospacing="1"/>
      <w:textAlignment w:val="top"/>
    </w:pPr>
    <w:rPr>
      <w:rFonts w:ascii="Arial" w:hAnsi="Arial" w:cs="Arial"/>
      <w:i/>
      <w:iCs/>
      <w:color w:val="000000"/>
      <w:sz w:val="16"/>
      <w:szCs w:val="16"/>
      <w:lang w:eastAsia="en-GB"/>
    </w:rPr>
  </w:style>
  <w:style w:type="paragraph" w:customStyle="1" w:styleId="159">
    <w:name w:val="xl80"/>
    <w:basedOn w:val="1"/>
    <w:qFormat/>
    <w:uiPriority w:val="0"/>
    <w:pPr>
      <w:pBdr>
        <w:top w:val="single" w:color="B1BBCC" w:sz="4" w:space="0"/>
        <w:left w:val="single" w:color="B1BBCC" w:sz="4" w:space="0"/>
        <w:bottom w:val="single" w:color="B1BBCC" w:sz="4" w:space="0"/>
        <w:right w:val="single" w:color="B1BBCC" w:sz="4" w:space="0"/>
      </w:pBdr>
      <w:overflowPunct/>
      <w:autoSpaceDE/>
      <w:autoSpaceDN/>
      <w:adjustRightInd/>
      <w:spacing w:before="100" w:beforeAutospacing="1" w:after="100" w:afterAutospacing="1"/>
      <w:textAlignment w:val="top"/>
    </w:pPr>
    <w:rPr>
      <w:rFonts w:ascii="Arial" w:hAnsi="Arial" w:cs="Arial"/>
      <w:i/>
      <w:iCs/>
      <w:color w:val="000000"/>
      <w:lang w:eastAsia="en-GB"/>
    </w:rPr>
  </w:style>
  <w:style w:type="paragraph" w:customStyle="1" w:styleId="160">
    <w:name w:val="xl81"/>
    <w:basedOn w:val="1"/>
    <w:qFormat/>
    <w:uiPriority w:val="0"/>
    <w:pPr>
      <w:pBdr>
        <w:top w:val="single" w:color="B1BBCC" w:sz="4" w:space="0"/>
        <w:left w:val="single" w:color="B1BBCC" w:sz="4" w:space="0"/>
        <w:bottom w:val="single" w:color="B1BBCC" w:sz="4" w:space="0"/>
        <w:right w:val="single" w:color="B1BBCC" w:sz="4" w:space="0"/>
      </w:pBdr>
      <w:overflowPunct/>
      <w:autoSpaceDE/>
      <w:autoSpaceDN/>
      <w:adjustRightInd/>
      <w:spacing w:before="100" w:beforeAutospacing="1" w:after="100" w:afterAutospacing="1"/>
      <w:textAlignment w:val="top"/>
    </w:pPr>
    <w:rPr>
      <w:rFonts w:ascii="Arial" w:hAnsi="Arial" w:cs="Arial"/>
      <w:b/>
      <w:bCs/>
      <w:i/>
      <w:iCs/>
      <w:color w:val="000000"/>
      <w:sz w:val="16"/>
      <w:szCs w:val="16"/>
      <w:lang w:eastAsia="en-GB"/>
    </w:rPr>
  </w:style>
  <w:style w:type="paragraph" w:customStyle="1" w:styleId="161">
    <w:name w:val="xl82"/>
    <w:basedOn w:val="1"/>
    <w:qFormat/>
    <w:uiPriority w:val="0"/>
    <w:pPr>
      <w:pBdr>
        <w:top w:val="single" w:color="B1BBCC" w:sz="4" w:space="0"/>
        <w:left w:val="single" w:color="B1BBCC" w:sz="4" w:space="0"/>
        <w:bottom w:val="single" w:color="B1BBCC" w:sz="4" w:space="0"/>
        <w:right w:val="single" w:color="B1BBCC" w:sz="4" w:space="0"/>
      </w:pBdr>
      <w:overflowPunct/>
      <w:autoSpaceDE/>
      <w:autoSpaceDN/>
      <w:adjustRightInd/>
      <w:spacing w:before="100" w:beforeAutospacing="1" w:after="100" w:afterAutospacing="1"/>
      <w:textAlignment w:val="top"/>
    </w:pPr>
    <w:rPr>
      <w:rFonts w:ascii="Arial" w:hAnsi="Arial" w:cs="Arial"/>
      <w:i/>
      <w:iCs/>
      <w:color w:val="0000FF"/>
      <w:sz w:val="24"/>
      <w:szCs w:val="24"/>
      <w:lang w:eastAsia="en-GB"/>
    </w:rPr>
  </w:style>
  <w:style w:type="paragraph" w:customStyle="1" w:styleId="162">
    <w:name w:val="xl83"/>
    <w:basedOn w:val="1"/>
    <w:qFormat/>
    <w:uiPriority w:val="0"/>
    <w:pPr>
      <w:pBdr>
        <w:top w:val="single" w:color="B1BBCC" w:sz="4" w:space="0"/>
        <w:left w:val="single" w:color="B1BBCC" w:sz="4" w:space="0"/>
        <w:bottom w:val="single" w:color="B1BBCC" w:sz="4" w:space="0"/>
        <w:right w:val="single" w:color="B1BBCC" w:sz="4" w:space="0"/>
      </w:pBdr>
      <w:overflowPunct/>
      <w:autoSpaceDE/>
      <w:autoSpaceDN/>
      <w:adjustRightInd/>
      <w:spacing w:before="100" w:beforeAutospacing="1" w:after="100" w:afterAutospacing="1"/>
      <w:textAlignment w:val="top"/>
    </w:pPr>
    <w:rPr>
      <w:rFonts w:ascii="Arial" w:hAnsi="Arial" w:cs="Arial"/>
      <w:color w:val="0000FF"/>
      <w:sz w:val="24"/>
      <w:szCs w:val="24"/>
      <w:lang w:eastAsia="en-GB"/>
    </w:rPr>
  </w:style>
  <w:style w:type="paragraph" w:customStyle="1" w:styleId="163">
    <w:name w:val="xl84"/>
    <w:basedOn w:val="1"/>
    <w:qFormat/>
    <w:uiPriority w:val="0"/>
    <w:pPr>
      <w:pBdr>
        <w:top w:val="single" w:color="B1BBCC" w:sz="4" w:space="0"/>
        <w:left w:val="single" w:color="B1BBCC" w:sz="4" w:space="0"/>
        <w:bottom w:val="single" w:color="B1BBCC" w:sz="4" w:space="0"/>
        <w:right w:val="single" w:color="B1BBCC" w:sz="4" w:space="0"/>
      </w:pBdr>
      <w:shd w:val="clear" w:color="000000" w:fill="FFFF00"/>
      <w:overflowPunct/>
      <w:autoSpaceDE/>
      <w:autoSpaceDN/>
      <w:adjustRightInd/>
      <w:spacing w:before="100" w:beforeAutospacing="1" w:after="100" w:afterAutospacing="1"/>
      <w:textAlignment w:val="top"/>
    </w:pPr>
    <w:rPr>
      <w:rFonts w:ascii="Arial" w:hAnsi="Arial" w:cs="Arial"/>
      <w:b/>
      <w:bCs/>
      <w:color w:val="000000"/>
      <w:sz w:val="16"/>
      <w:szCs w:val="16"/>
      <w:lang w:eastAsia="en-GB"/>
    </w:rPr>
  </w:style>
  <w:style w:type="paragraph" w:customStyle="1" w:styleId="164">
    <w:name w:val="xl85"/>
    <w:basedOn w:val="1"/>
    <w:qFormat/>
    <w:uiPriority w:val="0"/>
    <w:pPr>
      <w:pBdr>
        <w:top w:val="single" w:color="B1BBCC" w:sz="4" w:space="0"/>
        <w:left w:val="single" w:color="B1BBCC" w:sz="4" w:space="0"/>
        <w:bottom w:val="single" w:color="B1BBCC" w:sz="4" w:space="0"/>
        <w:right w:val="single" w:color="B1BBCC" w:sz="4" w:space="0"/>
      </w:pBdr>
      <w:shd w:val="clear" w:color="000000" w:fill="FFFF00"/>
      <w:overflowPunct/>
      <w:autoSpaceDE/>
      <w:autoSpaceDN/>
      <w:adjustRightInd/>
      <w:spacing w:before="100" w:beforeAutospacing="1" w:after="100" w:afterAutospacing="1"/>
      <w:textAlignment w:val="top"/>
    </w:pPr>
    <w:rPr>
      <w:rFonts w:ascii="Arial" w:hAnsi="Arial" w:cs="Arial"/>
      <w:b/>
      <w:bCs/>
      <w:color w:val="0000FF"/>
      <w:sz w:val="24"/>
      <w:szCs w:val="24"/>
      <w:lang w:eastAsia="en-GB"/>
    </w:rPr>
  </w:style>
  <w:style w:type="paragraph" w:customStyle="1" w:styleId="165">
    <w:name w:val="xl86"/>
    <w:basedOn w:val="1"/>
    <w:qFormat/>
    <w:uiPriority w:val="0"/>
    <w:pPr>
      <w:pBdr>
        <w:top w:val="single" w:color="B1BBCC" w:sz="4" w:space="0"/>
        <w:left w:val="single" w:color="B1BBCC" w:sz="4" w:space="0"/>
        <w:bottom w:val="single" w:color="B1BBCC" w:sz="4" w:space="0"/>
        <w:right w:val="single" w:color="B1BBCC" w:sz="4" w:space="0"/>
      </w:pBdr>
      <w:shd w:val="clear" w:color="000000" w:fill="FFFF00"/>
      <w:overflowPunct/>
      <w:autoSpaceDE/>
      <w:autoSpaceDN/>
      <w:adjustRightInd/>
      <w:spacing w:before="100" w:beforeAutospacing="1" w:after="100" w:afterAutospacing="1"/>
      <w:textAlignment w:val="top"/>
    </w:pPr>
    <w:rPr>
      <w:rFonts w:ascii="Arial" w:hAnsi="Arial" w:cs="Arial"/>
      <w:sz w:val="16"/>
      <w:szCs w:val="16"/>
      <w:lang w:eastAsia="en-GB"/>
    </w:rPr>
  </w:style>
  <w:style w:type="paragraph" w:customStyle="1" w:styleId="166">
    <w:name w:val="xl87"/>
    <w:basedOn w:val="1"/>
    <w:qFormat/>
    <w:uiPriority w:val="0"/>
    <w:pPr>
      <w:pBdr>
        <w:top w:val="single" w:color="B1BBCC" w:sz="4" w:space="0"/>
        <w:left w:val="single" w:color="B1BBCC" w:sz="4" w:space="0"/>
        <w:bottom w:val="single" w:color="B1BBCC" w:sz="4" w:space="0"/>
        <w:right w:val="single" w:color="B1BBCC" w:sz="4" w:space="0"/>
      </w:pBdr>
      <w:shd w:val="clear" w:color="000000" w:fill="FFFF00"/>
      <w:overflowPunct/>
      <w:autoSpaceDE/>
      <w:autoSpaceDN/>
      <w:adjustRightInd/>
      <w:spacing w:before="100" w:beforeAutospacing="1" w:after="100" w:afterAutospacing="1"/>
      <w:textAlignment w:val="top"/>
    </w:pPr>
    <w:rPr>
      <w:color w:val="0563C1"/>
      <w:sz w:val="24"/>
      <w:szCs w:val="24"/>
      <w:u w:val="single"/>
      <w:lang w:eastAsia="en-GB"/>
    </w:rPr>
  </w:style>
  <w:style w:type="paragraph" w:customStyle="1" w:styleId="167">
    <w:name w:val="xl88"/>
    <w:basedOn w:val="1"/>
    <w:qFormat/>
    <w:uiPriority w:val="0"/>
    <w:pPr>
      <w:pBdr>
        <w:top w:val="single" w:color="B1BBCC" w:sz="4" w:space="0"/>
        <w:left w:val="single" w:color="B1BBCC" w:sz="4" w:space="0"/>
        <w:bottom w:val="single" w:color="B1BBCC" w:sz="4" w:space="0"/>
        <w:right w:val="single" w:color="B1BBCC" w:sz="4" w:space="0"/>
      </w:pBdr>
      <w:shd w:val="clear" w:color="000000" w:fill="FFFF00"/>
      <w:overflowPunct/>
      <w:autoSpaceDE/>
      <w:autoSpaceDN/>
      <w:adjustRightInd/>
      <w:spacing w:before="100" w:beforeAutospacing="1" w:after="100" w:afterAutospacing="1"/>
      <w:textAlignment w:val="top"/>
    </w:pPr>
    <w:rPr>
      <w:rFonts w:ascii="Arial" w:hAnsi="Arial" w:cs="Arial"/>
      <w:color w:val="000000"/>
      <w:sz w:val="16"/>
      <w:szCs w:val="16"/>
      <w:lang w:eastAsia="en-GB"/>
    </w:rPr>
  </w:style>
  <w:style w:type="paragraph" w:customStyle="1" w:styleId="168">
    <w:name w:val="xl89"/>
    <w:basedOn w:val="1"/>
    <w:qFormat/>
    <w:uiPriority w:val="0"/>
    <w:pPr>
      <w:pBdr>
        <w:top w:val="single" w:color="B1BBCC" w:sz="4" w:space="0"/>
        <w:left w:val="single" w:color="B1BBCC" w:sz="4" w:space="0"/>
        <w:bottom w:val="single" w:color="B1BBCC" w:sz="4" w:space="0"/>
        <w:right w:val="single" w:color="B1BBCC" w:sz="4" w:space="0"/>
      </w:pBdr>
      <w:shd w:val="clear" w:color="000000" w:fill="FFFF00"/>
      <w:overflowPunct/>
      <w:autoSpaceDE/>
      <w:autoSpaceDN/>
      <w:adjustRightInd/>
      <w:spacing w:before="100" w:beforeAutospacing="1" w:after="100" w:afterAutospacing="1"/>
      <w:textAlignment w:val="top"/>
    </w:pPr>
    <w:rPr>
      <w:rFonts w:ascii="Arial" w:hAnsi="Arial" w:cs="Arial"/>
      <w:i/>
      <w:iCs/>
      <w:color w:val="000000"/>
      <w:sz w:val="16"/>
      <w:szCs w:val="16"/>
      <w:lang w:eastAsia="en-GB"/>
    </w:rPr>
  </w:style>
  <w:style w:type="paragraph" w:customStyle="1" w:styleId="169">
    <w:name w:val="xl90"/>
    <w:basedOn w:val="1"/>
    <w:qFormat/>
    <w:uiPriority w:val="0"/>
    <w:pPr>
      <w:overflowPunct/>
      <w:autoSpaceDE/>
      <w:autoSpaceDN/>
      <w:adjustRightInd/>
      <w:spacing w:before="100" w:beforeAutospacing="1" w:after="100" w:afterAutospacing="1"/>
      <w:textAlignment w:val="top"/>
    </w:pPr>
    <w:rPr>
      <w:b/>
      <w:bCs/>
      <w:sz w:val="14"/>
      <w:szCs w:val="14"/>
      <w:lang w:eastAsia="en-GB"/>
    </w:rPr>
  </w:style>
  <w:style w:type="paragraph" w:customStyle="1" w:styleId="170">
    <w:name w:val="xl91"/>
    <w:basedOn w:val="1"/>
    <w:qFormat/>
    <w:uiPriority w:val="0"/>
    <w:pPr>
      <w:shd w:val="clear" w:color="000000" w:fill="FFFF00"/>
      <w:overflowPunct/>
      <w:autoSpaceDE/>
      <w:autoSpaceDN/>
      <w:adjustRightInd/>
      <w:spacing w:before="100" w:beforeAutospacing="1" w:after="100" w:afterAutospacing="1"/>
      <w:textAlignment w:val="top"/>
    </w:pPr>
    <w:rPr>
      <w:b/>
      <w:bCs/>
      <w:sz w:val="14"/>
      <w:szCs w:val="14"/>
      <w:lang w:eastAsia="en-GB"/>
    </w:rPr>
  </w:style>
  <w:style w:type="character" w:customStyle="1" w:styleId="171">
    <w:name w:val="Heading 3 Char"/>
    <w:basedOn w:val="52"/>
    <w:link w:val="4"/>
    <w:qFormat/>
    <w:uiPriority w:val="0"/>
    <w:rPr>
      <w:rFonts w:ascii="Arial" w:hAnsi="Arial"/>
      <w:sz w:val="28"/>
      <w:lang w:eastAsia="en-US"/>
    </w:rPr>
  </w:style>
  <w:style w:type="character" w:customStyle="1" w:styleId="172">
    <w:name w:val="EX Char"/>
    <w:link w:val="77"/>
    <w:qFormat/>
    <w:locked/>
    <w:uiPriority w:val="0"/>
    <w:rPr>
      <w:lang w:eastAsia="en-US"/>
    </w:rPr>
  </w:style>
  <w:style w:type="character" w:customStyle="1" w:styleId="173">
    <w:name w:val="ui-provider"/>
    <w:basedOn w:val="52"/>
    <w:qFormat/>
    <w:uiPriority w:val="0"/>
  </w:style>
  <w:style w:type="character" w:customStyle="1" w:styleId="174">
    <w:name w:val="TAN Char"/>
    <w:link w:val="90"/>
    <w:qFormat/>
    <w:uiPriority w:val="0"/>
    <w:rPr>
      <w:rFonts w:ascii="Arial" w:hAnsi="Arial"/>
      <w:sz w:val="18"/>
      <w:lang w:eastAsia="en-US"/>
    </w:rPr>
  </w:style>
  <w:style w:type="character" w:customStyle="1" w:styleId="175">
    <w:name w:val="Heading 1 Char"/>
    <w:basedOn w:val="52"/>
    <w:link w:val="2"/>
    <w:qFormat/>
    <w:uiPriority w:val="0"/>
    <w:rPr>
      <w:rFonts w:ascii="Arial" w:hAnsi="Arial"/>
      <w:sz w:val="36"/>
      <w:lang w:eastAsia="en-US"/>
    </w:rPr>
  </w:style>
  <w:style w:type="character" w:customStyle="1" w:styleId="176">
    <w:name w:val="Heading 4 Char"/>
    <w:basedOn w:val="52"/>
    <w:link w:val="5"/>
    <w:qFormat/>
    <w:uiPriority w:val="0"/>
    <w:rPr>
      <w:rFonts w:ascii="Arial" w:hAnsi="Arial"/>
      <w:sz w:val="24"/>
      <w:lang w:eastAsia="en-US"/>
    </w:rPr>
  </w:style>
  <w:style w:type="character" w:customStyle="1" w:styleId="177">
    <w:name w:val="Heading 5 Char"/>
    <w:basedOn w:val="52"/>
    <w:link w:val="6"/>
    <w:qFormat/>
    <w:uiPriority w:val="0"/>
    <w:rPr>
      <w:rFonts w:ascii="Arial" w:hAnsi="Arial"/>
      <w:sz w:val="22"/>
      <w:lang w:eastAsia="en-US"/>
    </w:rPr>
  </w:style>
  <w:style w:type="character" w:customStyle="1" w:styleId="178">
    <w:name w:val="Heading 6 Char"/>
    <w:basedOn w:val="52"/>
    <w:link w:val="7"/>
    <w:qFormat/>
    <w:uiPriority w:val="0"/>
    <w:rPr>
      <w:rFonts w:ascii="Arial" w:hAnsi="Arial"/>
      <w:lang w:eastAsia="en-US"/>
    </w:rPr>
  </w:style>
  <w:style w:type="character" w:customStyle="1" w:styleId="179">
    <w:name w:val="Heading 7 Char"/>
    <w:basedOn w:val="52"/>
    <w:link w:val="9"/>
    <w:qFormat/>
    <w:uiPriority w:val="0"/>
    <w:rPr>
      <w:rFonts w:ascii="Arial" w:hAnsi="Arial"/>
      <w:lang w:eastAsia="en-US"/>
    </w:rPr>
  </w:style>
  <w:style w:type="character" w:customStyle="1" w:styleId="180">
    <w:name w:val="Heading 8 Char"/>
    <w:basedOn w:val="52"/>
    <w:link w:val="10"/>
    <w:qFormat/>
    <w:uiPriority w:val="0"/>
    <w:rPr>
      <w:rFonts w:ascii="Arial" w:hAnsi="Arial"/>
      <w:sz w:val="36"/>
      <w:lang w:eastAsia="en-US"/>
    </w:rPr>
  </w:style>
  <w:style w:type="character" w:customStyle="1" w:styleId="181">
    <w:name w:val="Heading 9 Char"/>
    <w:basedOn w:val="52"/>
    <w:link w:val="11"/>
    <w:qFormat/>
    <w:uiPriority w:val="0"/>
    <w:rPr>
      <w:rFonts w:ascii="Arial" w:hAnsi="Arial"/>
      <w:sz w:val="36"/>
      <w:lang w:eastAsia="en-US"/>
    </w:rPr>
  </w:style>
  <w:style w:type="paragraph" w:styleId="182">
    <w:name w:val="Quote"/>
    <w:basedOn w:val="1"/>
    <w:next w:val="1"/>
    <w:link w:val="183"/>
    <w:qFormat/>
    <w:uiPriority w:val="29"/>
    <w:pPr>
      <w:overflowPunct/>
      <w:autoSpaceDE/>
      <w:autoSpaceDN/>
      <w:adjustRightInd/>
      <w:spacing w:before="160" w:after="160" w:line="278" w:lineRule="auto"/>
      <w:jc w:val="center"/>
      <w:textAlignment w:val="auto"/>
    </w:pPr>
    <w:rPr>
      <w:rFonts w:asciiTheme="minorHAnsi" w:hAnsiTheme="minorHAnsi" w:eastAsiaTheme="minorEastAsia" w:cstheme="minorBidi"/>
      <w:i/>
      <w:iCs/>
      <w:color w:val="404040" w:themeColor="text1" w:themeTint="BF"/>
      <w:kern w:val="2"/>
      <w:sz w:val="24"/>
      <w:szCs w:val="24"/>
      <w:lang w:eastAsia="ja-JP"/>
      <w14:textFill>
        <w14:solidFill>
          <w14:schemeClr w14:val="tx1">
            <w14:lumMod w14:val="75000"/>
            <w14:lumOff w14:val="25000"/>
          </w14:schemeClr>
        </w14:solidFill>
      </w14:textFill>
      <w14:ligatures w14:val="standardContextual"/>
    </w:rPr>
  </w:style>
  <w:style w:type="character" w:customStyle="1" w:styleId="183">
    <w:name w:val="Quote Char"/>
    <w:basedOn w:val="52"/>
    <w:link w:val="182"/>
    <w:qFormat/>
    <w:uiPriority w:val="29"/>
    <w:rPr>
      <w:rFonts w:asciiTheme="minorHAnsi" w:hAnsiTheme="minorHAnsi" w:eastAsiaTheme="minorEastAsia" w:cstheme="minorBidi"/>
      <w:i/>
      <w:iCs/>
      <w:color w:val="404040" w:themeColor="text1" w:themeTint="BF"/>
      <w:kern w:val="2"/>
      <w:sz w:val="24"/>
      <w:szCs w:val="24"/>
      <w:lang w:eastAsia="ja-JP"/>
      <w14:textFill>
        <w14:solidFill>
          <w14:schemeClr w14:val="tx1">
            <w14:lumMod w14:val="75000"/>
            <w14:lumOff w14:val="25000"/>
          </w14:schemeClr>
        </w14:solidFill>
      </w14:textFill>
      <w14:ligatures w14:val="standardContextual"/>
    </w:rPr>
  </w:style>
  <w:style w:type="character" w:customStyle="1" w:styleId="184">
    <w:name w:val="Intense Emphasis"/>
    <w:basedOn w:val="52"/>
    <w:qFormat/>
    <w:uiPriority w:val="21"/>
    <w:rPr>
      <w:i/>
      <w:iCs/>
      <w:color w:val="2F5597" w:themeColor="accent1" w:themeShade="BF"/>
    </w:rPr>
  </w:style>
  <w:style w:type="paragraph" w:styleId="185">
    <w:name w:val="Intense Quote"/>
    <w:basedOn w:val="1"/>
    <w:next w:val="1"/>
    <w:link w:val="186"/>
    <w:qFormat/>
    <w:uiPriority w:val="30"/>
    <w:pPr>
      <w:pBdr>
        <w:top w:val="single" w:color="2F5496" w:themeColor="accent1" w:themeShade="BF" w:sz="4" w:space="10"/>
        <w:bottom w:val="single" w:color="2F5496" w:themeColor="accent1" w:themeShade="BF" w:sz="4" w:space="10"/>
      </w:pBdr>
      <w:overflowPunct/>
      <w:autoSpaceDE/>
      <w:autoSpaceDN/>
      <w:adjustRightInd/>
      <w:spacing w:before="360" w:after="360" w:line="278" w:lineRule="auto"/>
      <w:ind w:left="864" w:right="864"/>
      <w:jc w:val="center"/>
      <w:textAlignment w:val="auto"/>
    </w:pPr>
    <w:rPr>
      <w:rFonts w:asciiTheme="minorHAnsi" w:hAnsiTheme="minorHAnsi" w:eastAsiaTheme="minorEastAsia" w:cstheme="minorBidi"/>
      <w:i/>
      <w:iCs/>
      <w:color w:val="2F5597" w:themeColor="accent1" w:themeShade="BF"/>
      <w:kern w:val="2"/>
      <w:sz w:val="24"/>
      <w:szCs w:val="24"/>
      <w:lang w:eastAsia="ja-JP"/>
      <w14:ligatures w14:val="standardContextual"/>
    </w:rPr>
  </w:style>
  <w:style w:type="character" w:customStyle="1" w:styleId="186">
    <w:name w:val="Intense Quote Char"/>
    <w:basedOn w:val="52"/>
    <w:link w:val="185"/>
    <w:qFormat/>
    <w:uiPriority w:val="30"/>
    <w:rPr>
      <w:rFonts w:asciiTheme="minorHAnsi" w:hAnsiTheme="minorHAnsi" w:eastAsiaTheme="minorEastAsia" w:cstheme="minorBidi"/>
      <w:i/>
      <w:iCs/>
      <w:color w:val="2F5597" w:themeColor="accent1" w:themeShade="BF"/>
      <w:kern w:val="2"/>
      <w:sz w:val="24"/>
      <w:szCs w:val="24"/>
      <w:lang w:eastAsia="ja-JP"/>
      <w14:ligatures w14:val="standardContextual"/>
    </w:rPr>
  </w:style>
  <w:style w:type="character" w:customStyle="1" w:styleId="187">
    <w:name w:val="Intense Reference"/>
    <w:basedOn w:val="52"/>
    <w:qFormat/>
    <w:uiPriority w:val="32"/>
    <w:rPr>
      <w:b/>
      <w:bCs/>
      <w:smallCaps/>
      <w:color w:val="2F5597" w:themeColor="accent1" w:themeShade="BF"/>
      <w:spacing w:val="5"/>
    </w:rPr>
  </w:style>
  <w:style w:type="character" w:customStyle="1" w:styleId="188">
    <w:name w:val="Header Char"/>
    <w:basedOn w:val="52"/>
    <w:link w:val="39"/>
    <w:qFormat/>
    <w:uiPriority w:val="0"/>
    <w:rPr>
      <w:rFonts w:ascii="Arial" w:hAnsi="Arial"/>
      <w:b/>
      <w:sz w:val="18"/>
      <w:lang w:eastAsia="en-US"/>
    </w:rPr>
  </w:style>
  <w:style w:type="character" w:customStyle="1" w:styleId="189">
    <w:name w:val="Footer Char"/>
    <w:basedOn w:val="52"/>
    <w:link w:val="38"/>
    <w:qFormat/>
    <w:uiPriority w:val="0"/>
    <w:rPr>
      <w:rFonts w:ascii="Arial" w:hAnsi="Arial"/>
      <w:b/>
      <w:i/>
      <w:sz w:val="18"/>
      <w:lang w:eastAsia="en-US"/>
    </w:rPr>
  </w:style>
  <w:style w:type="character" w:customStyle="1" w:styleId="190">
    <w:name w:val="Footnote Text Char"/>
    <w:basedOn w:val="52"/>
    <w:link w:val="42"/>
    <w:semiHidden/>
    <w:qFormat/>
    <w:uiPriority w:val="0"/>
    <w:rPr>
      <w:sz w:val="16"/>
      <w:lang w:eastAsia="en-US"/>
    </w:rPr>
  </w:style>
  <w:style w:type="character" w:customStyle="1" w:styleId="191">
    <w:name w:val="Document Map Char"/>
    <w:basedOn w:val="52"/>
    <w:link w:val="29"/>
    <w:semiHidden/>
    <w:qFormat/>
    <w:uiPriority w:val="0"/>
    <w:rPr>
      <w:rFonts w:ascii="Tahoma" w:hAnsi="Tahoma"/>
      <w:shd w:val="clear" w:color="auto" w:fill="000080"/>
      <w:lang w:eastAsia="en-US"/>
    </w:rPr>
  </w:style>
  <w:style w:type="character" w:customStyle="1" w:styleId="192">
    <w:name w:val="Plain Text Char"/>
    <w:basedOn w:val="52"/>
    <w:link w:val="33"/>
    <w:qFormat/>
    <w:uiPriority w:val="0"/>
    <w:rPr>
      <w:rFonts w:ascii="Courier New" w:hAnsi="Courier New"/>
      <w:lang w:val="nb-NO" w:eastAsia="en-US"/>
    </w:rPr>
  </w:style>
  <w:style w:type="character" w:customStyle="1" w:styleId="193">
    <w:name w:val="Body Text Char"/>
    <w:basedOn w:val="52"/>
    <w:link w:val="31"/>
    <w:qFormat/>
    <w:uiPriority w:val="0"/>
    <w:rPr>
      <w:lang w:eastAsia="en-US"/>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4.emf"/><Relationship Id="rId13" Type="http://schemas.openxmlformats.org/officeDocument/2006/relationships/oleObject" Target="embeddings/oleObject4.bin"/><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7A4EC7-9D67-429F-BEFB-051EC1A28125}">
  <ds:schemaRefs/>
</ds:datastoreItem>
</file>

<file path=docProps/app.xml><?xml version="1.0" encoding="utf-8"?>
<Properties xmlns="http://schemas.openxmlformats.org/officeDocument/2006/extended-properties" xmlns:vt="http://schemas.openxmlformats.org/officeDocument/2006/docPropsVTypes">
  <Template>3gpp_70.dot</Template>
  <Pages>204</Pages>
  <Words>125594</Words>
  <Characters>715890</Characters>
  <Lines>5965</Lines>
  <Paragraphs>1679</Paragraphs>
  <TotalTime>7</TotalTime>
  <ScaleCrop>false</ScaleCrop>
  <LinksUpToDate>false</LinksUpToDate>
  <CharactersWithSpaces>839805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2024-06-06T06:23:00Z</dcterms:created>
  <dc:creator>MCC Support</dc:creator>
  <cp:keywords>Description, Summary, Release 15</cp:keywords>
  <cp:lastModifiedBy>Rapporteur060</cp:lastModifiedBy>
  <cp:lastPrinted>2019-09-04T12:24:00Z</cp:lastPrinted>
  <dcterms:modified xsi:type="dcterms:W3CDTF">2024-06-07T10:18:30Z</dcterms:modified>
  <dc:subject>Release 15 Description; Summary of Rel-15 Work Items (Release 15)</dc:subject>
  <dc:title>TR 21.915</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E27C6283BD9A480E9BC88BED17265FE5</vt:lpwstr>
  </property>
</Properties>
</file>